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32"/>
          <w:szCs w:val="32"/>
          <w:u w:val="none"/>
          <w:lang w:val="en-US" w:eastAsia="zh-CN"/>
        </w:rPr>
      </w:pPr>
      <w:r>
        <w:rPr>
          <w:rFonts w:hint="eastAsia" w:ascii="仿宋" w:hAnsi="仿宋" w:eastAsia="仿宋" w:cs="仿宋"/>
          <w:color w:val="00000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2023-2024年度省金标委标准制修订计划与参与意向</w:t>
      </w:r>
    </w:p>
    <w:p>
      <w:pPr>
        <w:widowControl w:val="0"/>
        <w:numPr>
          <w:ilvl w:val="0"/>
          <w:numId w:val="0"/>
        </w:numPr>
        <w:jc w:val="both"/>
        <w:rPr>
          <w:rFonts w:hint="eastAsia" w:ascii="Times New Roman" w:hAnsi="Times New Roman"/>
          <w:sz w:val="32"/>
          <w:szCs w:val="32"/>
          <w:u w:val="none"/>
          <w:lang w:val="en-US" w:eastAsia="zh-CN"/>
        </w:rPr>
      </w:pPr>
    </w:p>
    <w:tbl>
      <w:tblPr>
        <w:tblStyle w:val="5"/>
        <w:tblW w:w="14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230"/>
        <w:gridCol w:w="6695"/>
        <w:gridCol w:w="27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序号</w:t>
            </w:r>
          </w:p>
        </w:tc>
        <w:tc>
          <w:tcPr>
            <w:tcW w:w="1230" w:type="dxa"/>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标准类别</w:t>
            </w:r>
          </w:p>
        </w:tc>
        <w:tc>
          <w:tcPr>
            <w:tcW w:w="6695" w:type="dxa"/>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标准名称</w:t>
            </w:r>
          </w:p>
        </w:tc>
        <w:tc>
          <w:tcPr>
            <w:tcW w:w="2760" w:type="dxa"/>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参与单位</w:t>
            </w:r>
          </w:p>
        </w:tc>
        <w:tc>
          <w:tcPr>
            <w:tcW w:w="2625" w:type="dxa"/>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参与人员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地方标准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板卷库无人化车间建设通用要求</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地方标准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钢铁烧结球团工序碳排放核算规范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地方标准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钢铁企业碳排放计量器具配备和管理规范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地方标准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冶炼工序（高炉炼铁、电炉炼钢、转炉炼钢）碳排放核算规范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地方标准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品牌价值评价 钢铁及金属新材料</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地方标准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冶金窑炉碳排放核算与监测规范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地方标准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电动重用户侧充换电系统通用要求</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017——2024 钢铁烧结球团工序碳排放监测方法</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018——2024 电炉炼钢工序碳排放核算规范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019——2024 转炉炼钢工序碳排放核算规范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020——2024 高炉炼铁工序碳排放核算规范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021——2024 冶金窑炉碳排放核算规范</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022——2024 烧结工序单位产品能源消耗限额及计算方法</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14</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023——2024 高炉炼铁工序单位产品能源消耗限额及计算方法</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024——2024 电炉炼钢工序单位产品能源消耗限额及计算方法</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16</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025——2024 转炉炼钢工序单位产品能源消耗限额及计算方法</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026——2024 轧钢工序单位产品能源消耗限额及计算方法</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027——2024 焊管单位产品能源消耗限额及计算方法</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团体标准</w:t>
            </w:r>
          </w:p>
        </w:tc>
        <w:tc>
          <w:tcPr>
            <w:tcW w:w="6695"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T/JSGT 028——2024 产品碳足迹量化方法 钢铁</w:t>
            </w:r>
          </w:p>
        </w:tc>
        <w:tc>
          <w:tcPr>
            <w:tcW w:w="2760"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2625" w:type="dxa"/>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bl>
    <w:p>
      <w:pPr>
        <w:widowControl w:val="0"/>
        <w:numPr>
          <w:ilvl w:val="0"/>
          <w:numId w:val="0"/>
        </w:numPr>
        <w:jc w:val="both"/>
        <w:rPr>
          <w:rFonts w:hint="eastAsia" w:ascii="Times New Roman" w:hAnsi="Times New Roman"/>
          <w:sz w:val="32"/>
          <w:szCs w:val="32"/>
          <w:u w:val="none"/>
          <w:lang w:val="en-US" w:eastAsia="zh-CN"/>
        </w:rPr>
      </w:pPr>
    </w:p>
    <w:p>
      <w:pPr>
        <w:widowControl w:val="0"/>
        <w:numPr>
          <w:ilvl w:val="0"/>
          <w:numId w:val="0"/>
        </w:numPr>
        <w:jc w:val="both"/>
        <w:rPr>
          <w:rFonts w:hint="eastAsia" w:ascii="Times New Roman" w:hAnsi="Times New Roman"/>
          <w:sz w:val="32"/>
          <w:szCs w:val="32"/>
          <w:u w:val="none"/>
          <w:lang w:val="en-US" w:eastAsia="zh-CN"/>
        </w:rPr>
      </w:pPr>
    </w:p>
    <w:p>
      <w:pPr>
        <w:widowControl w:val="0"/>
        <w:numPr>
          <w:ilvl w:val="0"/>
          <w:numId w:val="0"/>
        </w:numPr>
        <w:jc w:val="both"/>
        <w:rPr>
          <w:rFonts w:hint="eastAsia" w:ascii="Times New Roman" w:hAnsi="Times New Roman"/>
          <w:sz w:val="32"/>
          <w:szCs w:val="32"/>
          <w:u w:val="none"/>
          <w:lang w:val="en-US" w:eastAsia="zh-CN"/>
        </w:rPr>
      </w:pPr>
    </w:p>
    <w:p>
      <w:pPr>
        <w:widowControl w:val="0"/>
        <w:numPr>
          <w:ilvl w:val="0"/>
          <w:numId w:val="0"/>
        </w:numPr>
        <w:jc w:val="both"/>
        <w:rPr>
          <w:rFonts w:hint="eastAsia" w:ascii="Times New Roman" w:hAnsi="Times New Roman"/>
          <w:sz w:val="32"/>
          <w:szCs w:val="32"/>
          <w:u w:val="none"/>
          <w:lang w:val="en-US" w:eastAsia="zh-CN"/>
        </w:rPr>
      </w:pPr>
    </w:p>
    <w:p>
      <w:pPr>
        <w:widowControl w:val="0"/>
        <w:numPr>
          <w:ilvl w:val="0"/>
          <w:numId w:val="0"/>
        </w:numPr>
        <w:jc w:val="both"/>
        <w:rPr>
          <w:rFonts w:hint="eastAsia" w:ascii="Times New Roman" w:hAnsi="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《以标准提升牵引设备更新消费品以旧换新行动方案》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2024年—2025重点制修订国家标准参与意向</w:t>
      </w:r>
    </w:p>
    <w:tbl>
      <w:tblPr>
        <w:tblStyle w:val="4"/>
        <w:tblW w:w="14115" w:type="dxa"/>
        <w:tblInd w:w="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2580"/>
        <w:gridCol w:w="945"/>
        <w:gridCol w:w="735"/>
        <w:gridCol w:w="795"/>
        <w:gridCol w:w="3135"/>
        <w:gridCol w:w="1230"/>
        <w:gridCol w:w="1950"/>
        <w:gridCol w:w="19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序号</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标准项目名称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制修订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性质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年度</w:t>
            </w:r>
          </w:p>
        </w:tc>
        <w:tc>
          <w:tcPr>
            <w:tcW w:w="31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归口技术委员会</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所属领域</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参与单位</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参与人员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节能技术评价导则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全国能源基础与管理标准化技术委员会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碳排放核算与报告要求铜冶炼企业</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全国有色金属标准化技术委员会、全国碳排放管理标准化技术委员会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碳排放核算与报告要求炭素材料生产企业</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中国钢铁工业协会、全国碳排放管理标准化技术委员会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碳排放核算与报告要求工业硅生产企业</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全国有色金属标准化技术委员会、全国碳排放管理标准化技术委员会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碳排放核算与报告要求锌冶炼企业</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全国有色金属标准化技术委员会、全国碳排放管理标准化技术委员会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产品碳足迹量化要求和指南</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全国碳排放管理标准化技术委员会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电解水制氢用电极性能测试与评价</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全国氢能标准化技术委员会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大型空分装置用透平压缩机</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全国风机标准化技术委员会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生物质成型燃料锅炉</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全国锅炉压力容器标准化技术委员会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生物质锅炉质量性能评价技术准则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全国锅炉压力容器标准化技术委员会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土方机械纯电动轮胎式装载机技术规范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全国土方机械标准化技术委员会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土方机械纯电动非公路矿用自卸车技术规范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全国土方机械标准化技术委员会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土方机械纯电动非公路宽体自卸车技术规范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全国土方机械标准化技术委员会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电梯用钢丝绳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全国钢标准化技术委员会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索道用钢丝绳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全国钢标准化技术委员会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矿井提升用钢丝绳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全国钢标准化技术委员会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钢筋混凝土用钢第1部分：热轧光圆钢筋</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全国钢标准化技术委员会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钢筋混凝土用钢第2部分：热轧带肋钢筋</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全国钢标准化技术委员会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冷轧带肋钢筋</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全国钢标准化技术委员会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危险化学品重大危险源安全监控预警技术规范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全国安全生产标准化技术委员会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作业场所环境气体检测报警仪通用技术要求</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全国安全生产标准化技术委员会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再生资源分拣中心建设和管理规范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再生资源回收利用网络规范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再生资源交易平台建设规范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公共机构废旧商品回收体系管理规范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再制造等离子喷涂技术规范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全国绿色制造技术标准化技术委员会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再生钢铁原料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全国生铁及铁合金标准化技术委员会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再生铜及铜合金棒线材</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再生铂族金属原料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再生锂原料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再生钛锭</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铅、锌工业污染物排放标准(大气部分)</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固体废物鉴别标准通则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强制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产品碳足迹产品种类规则电解铝</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全国有色金属标准化技术委员会、全国碳排放管理标准化技术委员会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冶金石灰窑中二氧化碳回收处置技术规范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全国钢标准化技术委员会、全国碳排放管理标准化技术委员会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电动汽车充换电服务信息交换第2部分：公共服务信息交换规范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电动汽车充换电服务信息交换第3部分：业务服务信息交换规范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电动汽车充换电服务信息交换第4部分：充换电设备与服务平台信息交换规范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电动汽车充换电服务信息交换第5部分：数据传输及安全</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新能源汽车售后服务规范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全国服务标准化技术委员会、全国汽车维修标准化技术委员会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41</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电动商用车换电安全要求</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全国汽车标准化技术委员会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绿色产品评价绝热材料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全国绝热材料标准化技术委员会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基于北斗卫星大数据的大宗原料另类分析技术</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全国北斗卫星导航系统标准化技术委员会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电动重卡用户侧充换电系统通用要求</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全国汽车标准化技术委员会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锂离子电池用气相氧化铝隔热阻燃材料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修订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全国电力储能标准化技术委员会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有机介质储氢技术规范</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全国氢能标准化技术委员会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高炉设备巡检用无人机</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全国航空器标准化技术委员会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纳米气凝胶灭火剂</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全国消防标准化技术委员会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电缆防火包覆料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全国消防标准化技术委员会</w:t>
            </w:r>
          </w:p>
        </w:tc>
        <w:tc>
          <w:tcPr>
            <w:tcW w:w="12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全工艺冷轧无取向电工钢带（板）</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工业和信息化部</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《以标准提升牵引设备更新消费品以旧换新行动方案》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2024年—2025制修订重点地方标准/团体标准参与意向</w:t>
      </w:r>
    </w:p>
    <w:tbl>
      <w:tblPr>
        <w:tblStyle w:val="4"/>
        <w:tblW w:w="14130" w:type="dxa"/>
        <w:tblInd w:w="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5"/>
        <w:gridCol w:w="2490"/>
        <w:gridCol w:w="960"/>
        <w:gridCol w:w="795"/>
        <w:gridCol w:w="825"/>
        <w:gridCol w:w="3015"/>
        <w:gridCol w:w="1245"/>
        <w:gridCol w:w="2055"/>
        <w:gridCol w:w="1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序号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标准项目名称</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制修订</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性质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年度</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归口技术委员会/团体</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所属领域</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参与单位</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参与人员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钢铁烧结球团工序碳排放核算规范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2023</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板卷库无人化车间建设通用要求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2023</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钢铁企业碳排放计量器具配备和管理规范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2023</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冶炼工序（高炉炼铁、电炉炼钢、转炉炼钢）碳排放核算规范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品牌价值评价 钢铁及金属新材料</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冶金窑炉碳排放核算规范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钢铁行业煤气管道流量计量技术规范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电动重卡用户侧充换电系统通用要求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钢铁腐蚀产物 水溶性阴离子的测定 离子色谱法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双梁桥式抓斗行车智能化建设通用要求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钢铁企业碳排放评价技术导则</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碳排放管理体系 要求及使用指南</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轧钢工序碳排放核算规范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钢铁烧结球团工序碳排放监测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电炉炼钢工序碳排放监测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冶金窑炉碳排放监测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船舶钢质家具安装工艺规程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消费品以旧换新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钢铁腐蚀产物 水溶性阴离子的测定 离子色谱法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001——2020微晶化钢筋混凝土用带肋钢筋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工业和信息化部</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004——2020控氮含钒钢筋混凝土用热轧钢筋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工业和信息化部</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010——2021高强度热轧带肋钢筋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工业和信息化部</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011——2021全工艺冷轧无取向电工钢带（板）</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工业和信息化部</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016——2022电动重卡用户侧充换电系统通用要求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工业和信息化部、国家能源局</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018——2024电炉炼钢工序碳排放核算规范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019——2024转炉炼钢工序碳排放核算规范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020——2024高炉炼铁工序碳排放核算规范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021——2024冶金窑炉碳排放核算规范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022——2024烧结工序单位产品能源消耗限额及计算方法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023——2024高炉炼铁工序单位产品能源消耗限额及计算方法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024——2024电炉炼钢工序单位产品能源消耗限额及计算方法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025——2024转炉炼钢工序单位产品能源消耗限额及计算方法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026——2024轧钢工序单位产品能源消耗限额及计算方法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027——2024焊管单位产品能源消耗限额及计算方法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T/JSGT 028——2024基于北斗卫星大数据的大宗原料另类分析技术</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全国北斗卫星导航系统标准化技术委员会</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高炉炼铁工序智改数转建设要求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转炉炼钢工序智改数转建设要求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电动机车用户侧通用要求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电动船舶用户侧通用要求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电动装载机用户侧通用要求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钢铁行业绿色车间评价规范（电炉炼钢）</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钢铁行业绿色车间评价规范（转炉炼钢）</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钢铁行业绿色车间评价规范（烧结球团）</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钢铁行业绿色车间评价规范（轧钢）</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钢铁行业绿色车间评价规范（高炉炼铁）</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钢铁行业绿色车间评价规范（酸洗、磷化、镀锌）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基于云平台的加热炉智能控制技术规程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钢铁烧结、球团工序智改数转建设要求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钢铁行业 智能工厂集控中心技术要求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高炉炼铁工序单位产品能源消耗限额</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设备更新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超高分子量聚乙烯（UHMW-PE）托辊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推荐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2025</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江苏省钢铁及金属新材料标准化技术委员会(JS/TC64)</w:t>
            </w:r>
          </w:p>
        </w:tc>
        <w:tc>
          <w:tcPr>
            <w:tcW w:w="12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循环利用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2023-2024年度省金标委委员参与标准制修订工作情况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黑体"/>
          <w:sz w:val="24"/>
          <w:szCs w:val="24"/>
          <w:u w:val="none"/>
          <w:lang w:val="en-US" w:eastAsia="zh-CN"/>
        </w:rPr>
      </w:pPr>
      <w:r>
        <w:rPr>
          <w:rFonts w:hint="eastAsia" w:ascii="Times New Roman" w:hAnsi="Times New Roman" w:eastAsia="黑体" w:cs="黑体"/>
          <w:sz w:val="24"/>
          <w:szCs w:val="24"/>
          <w:u w:val="none"/>
          <w:lang w:val="en-US" w:eastAsia="zh-CN"/>
        </w:rPr>
        <w:t>起止时间：</w:t>
      </w:r>
    </w:p>
    <w:tbl>
      <w:tblPr>
        <w:tblStyle w:val="5"/>
        <w:tblW w:w="141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225"/>
        <w:gridCol w:w="4394"/>
        <w:gridCol w:w="2460"/>
        <w:gridCol w:w="5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42" w:type="dxa"/>
            <w:vAlign w:val="center"/>
          </w:tcPr>
          <w:p>
            <w:pPr>
              <w:widowControl w:val="0"/>
              <w:numPr>
                <w:ilvl w:val="0"/>
                <w:numId w:val="0"/>
              </w:numPr>
              <w:jc w:val="center"/>
              <w:rPr>
                <w:rFonts w:hint="eastAsia" w:ascii="仿宋" w:hAnsi="仿宋" w:eastAsia="仿宋" w:cs="仿宋"/>
                <w:b/>
                <w:bCs/>
                <w:sz w:val="24"/>
                <w:szCs w:val="24"/>
                <w:u w:val="none"/>
                <w:lang w:val="en-US" w:eastAsia="zh-CN"/>
              </w:rPr>
            </w:pPr>
            <w:r>
              <w:rPr>
                <w:rFonts w:hint="eastAsia" w:ascii="仿宋" w:hAnsi="仿宋" w:eastAsia="仿宋" w:cs="仿宋"/>
                <w:b/>
                <w:bCs/>
                <w:sz w:val="24"/>
                <w:szCs w:val="24"/>
                <w:u w:val="none"/>
                <w:lang w:val="en-US" w:eastAsia="zh-CN"/>
              </w:rPr>
              <w:t>序号</w:t>
            </w:r>
          </w:p>
        </w:tc>
        <w:tc>
          <w:tcPr>
            <w:tcW w:w="1225" w:type="dxa"/>
            <w:vAlign w:val="center"/>
          </w:tcPr>
          <w:p>
            <w:pPr>
              <w:widowControl w:val="0"/>
              <w:numPr>
                <w:ilvl w:val="0"/>
                <w:numId w:val="0"/>
              </w:numPr>
              <w:jc w:val="center"/>
              <w:rPr>
                <w:rFonts w:hint="eastAsia" w:ascii="仿宋" w:hAnsi="仿宋" w:eastAsia="仿宋" w:cs="仿宋"/>
                <w:b/>
                <w:bCs/>
                <w:sz w:val="24"/>
                <w:szCs w:val="24"/>
                <w:u w:val="none"/>
                <w:lang w:val="en-US" w:eastAsia="zh-CN"/>
              </w:rPr>
            </w:pPr>
            <w:r>
              <w:rPr>
                <w:rFonts w:hint="eastAsia" w:ascii="仿宋" w:hAnsi="仿宋" w:eastAsia="仿宋" w:cs="仿宋"/>
                <w:b/>
                <w:bCs/>
                <w:sz w:val="24"/>
                <w:szCs w:val="24"/>
                <w:u w:val="none"/>
                <w:lang w:val="en-US" w:eastAsia="zh-CN"/>
              </w:rPr>
              <w:t>标准类别</w:t>
            </w:r>
          </w:p>
        </w:tc>
        <w:tc>
          <w:tcPr>
            <w:tcW w:w="4394" w:type="dxa"/>
            <w:vAlign w:val="center"/>
          </w:tcPr>
          <w:p>
            <w:pPr>
              <w:widowControl w:val="0"/>
              <w:numPr>
                <w:ilvl w:val="0"/>
                <w:numId w:val="0"/>
              </w:numPr>
              <w:jc w:val="center"/>
              <w:rPr>
                <w:rFonts w:hint="eastAsia" w:ascii="仿宋" w:hAnsi="仿宋" w:eastAsia="仿宋" w:cs="仿宋"/>
                <w:b/>
                <w:bCs/>
                <w:sz w:val="24"/>
                <w:szCs w:val="24"/>
                <w:u w:val="none"/>
                <w:lang w:val="en-US" w:eastAsia="zh-CN"/>
              </w:rPr>
            </w:pPr>
            <w:r>
              <w:rPr>
                <w:rFonts w:hint="eastAsia" w:ascii="仿宋" w:hAnsi="仿宋" w:eastAsia="仿宋" w:cs="仿宋"/>
                <w:b/>
                <w:bCs/>
                <w:sz w:val="24"/>
                <w:szCs w:val="24"/>
                <w:u w:val="none"/>
                <w:lang w:val="en-US" w:eastAsia="zh-CN"/>
              </w:rPr>
              <w:t>标准名称</w:t>
            </w:r>
          </w:p>
        </w:tc>
        <w:tc>
          <w:tcPr>
            <w:tcW w:w="2460" w:type="dxa"/>
            <w:vAlign w:val="center"/>
          </w:tcPr>
          <w:p>
            <w:pPr>
              <w:widowControl w:val="0"/>
              <w:numPr>
                <w:ilvl w:val="0"/>
                <w:numId w:val="0"/>
              </w:numPr>
              <w:jc w:val="center"/>
              <w:rPr>
                <w:rFonts w:hint="eastAsia" w:ascii="仿宋" w:hAnsi="仿宋" w:eastAsia="仿宋" w:cs="仿宋"/>
                <w:b/>
                <w:bCs/>
                <w:sz w:val="24"/>
                <w:szCs w:val="24"/>
                <w:u w:val="none"/>
                <w:lang w:val="en-US" w:eastAsia="zh-CN"/>
              </w:rPr>
            </w:pPr>
            <w:r>
              <w:rPr>
                <w:rFonts w:hint="eastAsia" w:ascii="仿宋" w:hAnsi="仿宋" w:eastAsia="仿宋" w:cs="仿宋"/>
                <w:b/>
                <w:bCs/>
                <w:sz w:val="24"/>
                <w:szCs w:val="24"/>
                <w:u w:val="none"/>
                <w:lang w:val="en-US" w:eastAsia="zh-CN"/>
              </w:rPr>
              <w:t>发布单位</w:t>
            </w:r>
          </w:p>
        </w:tc>
        <w:tc>
          <w:tcPr>
            <w:tcW w:w="5340" w:type="dxa"/>
            <w:vAlign w:val="center"/>
          </w:tcPr>
          <w:p>
            <w:pPr>
              <w:widowControl w:val="0"/>
              <w:numPr>
                <w:ilvl w:val="0"/>
                <w:numId w:val="0"/>
              </w:numPr>
              <w:jc w:val="center"/>
              <w:rPr>
                <w:rFonts w:hint="eastAsia" w:ascii="仿宋" w:hAnsi="仿宋" w:eastAsia="仿宋" w:cs="仿宋"/>
                <w:b/>
                <w:bCs/>
                <w:sz w:val="24"/>
                <w:szCs w:val="24"/>
                <w:u w:val="none"/>
                <w:lang w:val="en-US" w:eastAsia="zh-CN"/>
              </w:rPr>
            </w:pPr>
            <w:r>
              <w:rPr>
                <w:rFonts w:hint="eastAsia" w:ascii="仿宋" w:hAnsi="仿宋" w:eastAsia="仿宋" w:cs="仿宋"/>
                <w:b/>
                <w:bCs/>
                <w:sz w:val="24"/>
                <w:szCs w:val="24"/>
                <w:u w:val="none"/>
                <w:lang w:val="en-US" w:eastAsia="zh-CN"/>
              </w:rPr>
              <w:t>参与人员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kern w:val="2"/>
                <w:sz w:val="24"/>
                <w:szCs w:val="24"/>
                <w:u w:val="none"/>
                <w:lang w:val="en-US" w:eastAsia="zh-CN" w:bidi="ar-SA"/>
              </w:rPr>
            </w:pPr>
            <w:r>
              <w:rPr>
                <w:rFonts w:hint="eastAsia" w:ascii="仿宋" w:hAnsi="仿宋" w:eastAsia="仿宋" w:cs="仿宋"/>
                <w:sz w:val="24"/>
                <w:szCs w:val="24"/>
                <w:u w:val="none"/>
                <w:lang w:val="en-US" w:eastAsia="zh-CN"/>
              </w:rPr>
              <w:t>1</w:t>
            </w:r>
          </w:p>
        </w:tc>
        <w:tc>
          <w:tcPr>
            <w:tcW w:w="1225" w:type="dxa"/>
            <w:vAlign w:val="center"/>
          </w:tcPr>
          <w:p>
            <w:pPr>
              <w:widowControl w:val="0"/>
              <w:numPr>
                <w:ilvl w:val="0"/>
                <w:numId w:val="0"/>
              </w:numPr>
              <w:jc w:val="center"/>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国际标准</w:t>
            </w:r>
          </w:p>
        </w:tc>
        <w:tc>
          <w:tcPr>
            <w:tcW w:w="4394" w:type="dxa"/>
            <w:vAlign w:val="center"/>
          </w:tcPr>
          <w:p>
            <w:pPr>
              <w:widowControl w:val="0"/>
              <w:numPr>
                <w:ilvl w:val="0"/>
                <w:numId w:val="0"/>
              </w:numPr>
              <w:jc w:val="center"/>
              <w:rPr>
                <w:rFonts w:hint="eastAsia" w:ascii="仿宋" w:hAnsi="仿宋" w:eastAsia="仿宋" w:cs="仿宋"/>
                <w:sz w:val="24"/>
                <w:szCs w:val="24"/>
                <w:u w:val="none"/>
                <w:lang w:val="en-US" w:eastAsia="zh-CN"/>
              </w:rPr>
            </w:pPr>
          </w:p>
        </w:tc>
        <w:tc>
          <w:tcPr>
            <w:tcW w:w="2460" w:type="dxa"/>
            <w:vAlign w:val="center"/>
          </w:tcPr>
          <w:p>
            <w:pPr>
              <w:widowControl w:val="0"/>
              <w:numPr>
                <w:ilvl w:val="0"/>
                <w:numId w:val="0"/>
              </w:numPr>
              <w:jc w:val="center"/>
              <w:rPr>
                <w:rFonts w:hint="eastAsia" w:ascii="仿宋" w:hAnsi="仿宋" w:eastAsia="仿宋" w:cs="仿宋"/>
                <w:sz w:val="24"/>
                <w:szCs w:val="24"/>
                <w:u w:val="none"/>
                <w:lang w:val="en-US" w:eastAsia="zh-CN"/>
              </w:rPr>
            </w:pPr>
          </w:p>
        </w:tc>
        <w:tc>
          <w:tcPr>
            <w:tcW w:w="5340" w:type="dxa"/>
            <w:vAlign w:val="center"/>
          </w:tcPr>
          <w:p>
            <w:pPr>
              <w:widowControl w:val="0"/>
              <w:numPr>
                <w:ilvl w:val="0"/>
                <w:numId w:val="0"/>
              </w:numPr>
              <w:jc w:val="center"/>
              <w:rPr>
                <w:rFonts w:hint="eastAsia" w:ascii="仿宋" w:hAnsi="仿宋" w:eastAsia="仿宋" w:cs="仿宋"/>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kern w:val="2"/>
                <w:sz w:val="24"/>
                <w:szCs w:val="24"/>
                <w:u w:val="none"/>
                <w:lang w:val="en-US" w:eastAsia="zh-CN" w:bidi="ar-SA"/>
              </w:rPr>
            </w:pPr>
            <w:r>
              <w:rPr>
                <w:rFonts w:hint="eastAsia" w:ascii="仿宋" w:hAnsi="仿宋" w:eastAsia="仿宋" w:cs="仿宋"/>
                <w:sz w:val="24"/>
                <w:szCs w:val="24"/>
                <w:u w:val="none"/>
                <w:lang w:val="en-US" w:eastAsia="zh-CN"/>
              </w:rPr>
              <w:t>2</w:t>
            </w:r>
          </w:p>
        </w:tc>
        <w:tc>
          <w:tcPr>
            <w:tcW w:w="1225" w:type="dxa"/>
            <w:vAlign w:val="center"/>
          </w:tcPr>
          <w:p>
            <w:pPr>
              <w:widowControl w:val="0"/>
              <w:numPr>
                <w:ilvl w:val="0"/>
                <w:numId w:val="0"/>
              </w:numPr>
              <w:jc w:val="center"/>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国家标准</w:t>
            </w:r>
          </w:p>
        </w:tc>
        <w:tc>
          <w:tcPr>
            <w:tcW w:w="4394" w:type="dxa"/>
            <w:vAlign w:val="center"/>
          </w:tcPr>
          <w:p>
            <w:pPr>
              <w:widowControl w:val="0"/>
              <w:numPr>
                <w:ilvl w:val="0"/>
                <w:numId w:val="0"/>
              </w:numPr>
              <w:jc w:val="center"/>
              <w:rPr>
                <w:rFonts w:hint="eastAsia" w:ascii="仿宋" w:hAnsi="仿宋" w:eastAsia="仿宋" w:cs="仿宋"/>
                <w:sz w:val="24"/>
                <w:szCs w:val="24"/>
                <w:u w:val="none"/>
                <w:lang w:val="en-US" w:eastAsia="zh-CN"/>
              </w:rPr>
            </w:pPr>
          </w:p>
        </w:tc>
        <w:tc>
          <w:tcPr>
            <w:tcW w:w="2460" w:type="dxa"/>
            <w:vAlign w:val="center"/>
          </w:tcPr>
          <w:p>
            <w:pPr>
              <w:widowControl w:val="0"/>
              <w:numPr>
                <w:ilvl w:val="0"/>
                <w:numId w:val="0"/>
              </w:numPr>
              <w:jc w:val="center"/>
              <w:rPr>
                <w:rFonts w:hint="eastAsia" w:ascii="仿宋" w:hAnsi="仿宋" w:eastAsia="仿宋" w:cs="仿宋"/>
                <w:sz w:val="24"/>
                <w:szCs w:val="24"/>
                <w:u w:val="none"/>
                <w:lang w:val="en-US" w:eastAsia="zh-CN"/>
              </w:rPr>
            </w:pPr>
          </w:p>
        </w:tc>
        <w:tc>
          <w:tcPr>
            <w:tcW w:w="5340" w:type="dxa"/>
            <w:vAlign w:val="center"/>
          </w:tcPr>
          <w:p>
            <w:pPr>
              <w:widowControl w:val="0"/>
              <w:numPr>
                <w:ilvl w:val="0"/>
                <w:numId w:val="0"/>
              </w:numPr>
              <w:jc w:val="center"/>
              <w:rPr>
                <w:rFonts w:hint="eastAsia" w:ascii="仿宋" w:hAnsi="仿宋" w:eastAsia="仿宋" w:cs="仿宋"/>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kern w:val="2"/>
                <w:sz w:val="24"/>
                <w:szCs w:val="24"/>
                <w:u w:val="none"/>
                <w:lang w:val="en-US" w:eastAsia="zh-CN" w:bidi="ar-SA"/>
              </w:rPr>
            </w:pPr>
            <w:r>
              <w:rPr>
                <w:rFonts w:hint="eastAsia" w:ascii="仿宋" w:hAnsi="仿宋" w:eastAsia="仿宋" w:cs="仿宋"/>
                <w:sz w:val="24"/>
                <w:szCs w:val="24"/>
                <w:u w:val="none"/>
                <w:lang w:val="en-US" w:eastAsia="zh-CN"/>
              </w:rPr>
              <w:t>3</w:t>
            </w:r>
          </w:p>
        </w:tc>
        <w:tc>
          <w:tcPr>
            <w:tcW w:w="1225"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r>
              <w:rPr>
                <w:rFonts w:hint="eastAsia" w:ascii="仿宋" w:hAnsi="仿宋" w:eastAsia="仿宋" w:cs="仿宋"/>
                <w:sz w:val="24"/>
                <w:szCs w:val="24"/>
                <w:u w:val="none"/>
                <w:lang w:val="en-US" w:eastAsia="zh-CN"/>
              </w:rPr>
              <w:t>行业标准</w:t>
            </w:r>
          </w:p>
        </w:tc>
        <w:tc>
          <w:tcPr>
            <w:tcW w:w="4394"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246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534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kern w:val="2"/>
                <w:sz w:val="24"/>
                <w:szCs w:val="24"/>
                <w:u w:val="none"/>
                <w:lang w:val="en-US" w:eastAsia="zh-CN" w:bidi="ar-SA"/>
              </w:rPr>
            </w:pPr>
            <w:r>
              <w:rPr>
                <w:rFonts w:hint="eastAsia" w:ascii="仿宋" w:hAnsi="仿宋" w:eastAsia="仿宋" w:cs="仿宋"/>
                <w:sz w:val="24"/>
                <w:szCs w:val="24"/>
                <w:u w:val="none"/>
                <w:lang w:val="en-US" w:eastAsia="zh-CN"/>
              </w:rPr>
              <w:t>4</w:t>
            </w:r>
          </w:p>
        </w:tc>
        <w:tc>
          <w:tcPr>
            <w:tcW w:w="1225"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r>
              <w:rPr>
                <w:rFonts w:hint="eastAsia" w:ascii="仿宋" w:hAnsi="仿宋" w:eastAsia="仿宋" w:cs="仿宋"/>
                <w:sz w:val="24"/>
                <w:szCs w:val="24"/>
                <w:u w:val="none"/>
                <w:lang w:val="en-US" w:eastAsia="zh-CN"/>
              </w:rPr>
              <w:t>地方标准</w:t>
            </w:r>
          </w:p>
        </w:tc>
        <w:tc>
          <w:tcPr>
            <w:tcW w:w="4394"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246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534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5</w:t>
            </w:r>
          </w:p>
        </w:tc>
        <w:tc>
          <w:tcPr>
            <w:tcW w:w="1225"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r>
              <w:rPr>
                <w:rFonts w:hint="eastAsia" w:ascii="仿宋" w:hAnsi="仿宋" w:eastAsia="仿宋" w:cs="仿宋"/>
                <w:sz w:val="24"/>
                <w:szCs w:val="24"/>
                <w:u w:val="none"/>
                <w:lang w:val="en-US" w:eastAsia="zh-CN"/>
              </w:rPr>
              <w:t>团体标准</w:t>
            </w:r>
          </w:p>
        </w:tc>
        <w:tc>
          <w:tcPr>
            <w:tcW w:w="4394"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246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534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6</w:t>
            </w:r>
          </w:p>
        </w:tc>
        <w:tc>
          <w:tcPr>
            <w:tcW w:w="1225" w:type="dxa"/>
            <w:vAlign w:val="center"/>
          </w:tcPr>
          <w:p>
            <w:pPr>
              <w:widowControl w:val="0"/>
              <w:numPr>
                <w:ilvl w:val="0"/>
                <w:numId w:val="0"/>
              </w:numPr>
              <w:jc w:val="center"/>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企业标准</w:t>
            </w:r>
          </w:p>
        </w:tc>
        <w:tc>
          <w:tcPr>
            <w:tcW w:w="4394"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246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c>
          <w:tcPr>
            <w:tcW w:w="5340" w:type="dxa"/>
            <w:vAlign w:val="center"/>
          </w:tcPr>
          <w:p>
            <w:pPr>
              <w:widowControl w:val="0"/>
              <w:numPr>
                <w:ilvl w:val="0"/>
                <w:numId w:val="0"/>
              </w:numPr>
              <w:jc w:val="center"/>
              <w:rPr>
                <w:rFonts w:hint="eastAsia" w:ascii="仿宋" w:hAnsi="仿宋" w:eastAsia="仿宋" w:cs="仿宋"/>
                <w:sz w:val="24"/>
                <w:szCs w:val="24"/>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sz w:val="28"/>
          <w:szCs w:val="28"/>
          <w:u w:val="single"/>
          <w:lang w:val="en-US" w:eastAsia="zh-CN"/>
        </w:rPr>
      </w:pPr>
      <w:r>
        <w:rPr>
          <w:rFonts w:hint="eastAsia" w:ascii="Times New Roman" w:hAnsi="Times New Roman" w:eastAsia="宋体" w:cs="宋体"/>
          <w:sz w:val="28"/>
          <w:szCs w:val="28"/>
          <w:u w:val="none"/>
          <w:lang w:val="en-US" w:eastAsia="zh-CN"/>
        </w:rPr>
        <w:t xml:space="preserve">                           填报人：  </w:t>
      </w:r>
      <w:r>
        <w:rPr>
          <w:rFonts w:hint="eastAsia" w:ascii="Times New Roman" w:hAnsi="Times New Roman" w:eastAsia="宋体" w:cs="宋体"/>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sz w:val="32"/>
          <w:szCs w:val="32"/>
          <w:u w:val="none"/>
          <w:lang w:val="en-US" w:eastAsia="zh-CN"/>
        </w:rPr>
      </w:pPr>
      <w:r>
        <w:rPr>
          <w:rFonts w:hint="eastAsia" w:ascii="Times New Roman" w:hAnsi="Times New Roman" w:eastAsia="宋体" w:cs="宋体"/>
          <w:sz w:val="28"/>
          <w:szCs w:val="28"/>
          <w:u w:val="none"/>
          <w:lang w:val="en-US" w:eastAsia="zh-CN"/>
        </w:rPr>
        <w:t xml:space="preserve">                                           </w:t>
      </w:r>
      <w:r>
        <w:rPr>
          <w:rFonts w:hint="eastAsia" w:ascii="Times New Roman" w:hAnsi="Times New Roman" w:eastAsia="宋体" w:cs="宋体"/>
          <w:sz w:val="28"/>
          <w:szCs w:val="28"/>
          <w:u w:val="single"/>
          <w:lang w:val="en-US" w:eastAsia="zh-CN"/>
        </w:rPr>
        <w:t xml:space="preserve">        </w:t>
      </w:r>
      <w:r>
        <w:rPr>
          <w:rFonts w:hint="eastAsia" w:ascii="Times New Roman" w:hAnsi="Times New Roman"/>
          <w:sz w:val="32"/>
          <w:szCs w:val="32"/>
          <w:u w:val="none"/>
          <w:lang w:val="en-US" w:eastAsia="zh-CN"/>
        </w:rPr>
        <w:t>年</w:t>
      </w:r>
      <w:r>
        <w:rPr>
          <w:rFonts w:hint="eastAsia" w:ascii="Times New Roman" w:hAnsi="Times New Roman"/>
          <w:sz w:val="32"/>
          <w:szCs w:val="32"/>
          <w:u w:val="single"/>
          <w:lang w:val="en-US" w:eastAsia="zh-CN"/>
        </w:rPr>
        <w:t xml:space="preserve">    </w:t>
      </w:r>
      <w:r>
        <w:rPr>
          <w:rFonts w:hint="eastAsia" w:ascii="Times New Roman" w:hAnsi="Times New Roman"/>
          <w:sz w:val="32"/>
          <w:szCs w:val="32"/>
          <w:u w:val="none"/>
          <w:lang w:val="en-US" w:eastAsia="zh-CN"/>
        </w:rPr>
        <w:t>月</w:t>
      </w:r>
      <w:r>
        <w:rPr>
          <w:rFonts w:hint="eastAsia" w:ascii="Times New Roman" w:hAnsi="Times New Roman"/>
          <w:sz w:val="32"/>
          <w:szCs w:val="32"/>
          <w:u w:val="single"/>
          <w:lang w:val="en-US" w:eastAsia="zh-CN"/>
        </w:rPr>
        <w:t xml:space="preserve">    </w:t>
      </w:r>
      <w:r>
        <w:rPr>
          <w:rFonts w:hint="eastAsia" w:ascii="Times New Roman" w:hAnsi="Times New Roman"/>
          <w:sz w:val="32"/>
          <w:szCs w:val="32"/>
          <w:u w:val="none"/>
          <w:lang w:val="en-US" w:eastAsia="zh-CN"/>
        </w:rPr>
        <w:t>日</w:t>
      </w:r>
    </w:p>
    <w:p>
      <w:pPr>
        <w:rPr>
          <w:rFonts w:hint="eastAsia" w:ascii="Times New Roman" w:hAnsi="Times New Roman"/>
          <w:sz w:val="32"/>
          <w:szCs w:val="32"/>
          <w:u w:val="none"/>
          <w:lang w:val="en-US" w:eastAsia="zh-CN"/>
        </w:rPr>
      </w:pPr>
      <w:r>
        <w:rPr>
          <w:rFonts w:hint="eastAsia" w:ascii="Times New Roman" w:hAnsi="Times New Roman"/>
          <w:sz w:val="32"/>
          <w:szCs w:val="32"/>
          <w:u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sz w:val="32"/>
          <w:szCs w:val="32"/>
          <w:u w:val="none"/>
          <w:lang w:val="en-US" w:eastAsia="zh-CN"/>
        </w:rPr>
        <w:sectPr>
          <w:pgSz w:w="16840" w:h="11910" w:orient="landscape"/>
          <w:pgMar w:top="1800" w:right="1440" w:bottom="1800" w:left="1440" w:header="1449" w:footer="1140" w:gutter="0"/>
          <w:pgNumType w:fmt="upperRoman" w:start="1"/>
          <w:cols w:space="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意见征询函</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XX委员单位：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黑体" w:cs="黑体"/>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贵单位</w:t>
      </w:r>
      <w:r>
        <w:rPr>
          <w:rFonts w:hint="eastAsia" w:ascii="Times New Roman" w:hAnsi="Times New Roman" w:eastAsia="宋体" w:cs="宋体"/>
          <w:sz w:val="28"/>
          <w:szCs w:val="28"/>
          <w:u w:val="single"/>
          <w:lang w:val="en-US" w:eastAsia="zh-CN"/>
        </w:rPr>
        <w:t xml:space="preserve">              </w:t>
      </w:r>
      <w:r>
        <w:rPr>
          <w:rFonts w:hint="eastAsia" w:ascii="Times New Roman" w:hAnsi="Times New Roman" w:eastAsia="宋体" w:cs="宋体"/>
          <w:sz w:val="28"/>
          <w:szCs w:val="28"/>
          <w:u w:val="none"/>
          <w:lang w:val="en-US" w:eastAsia="zh-CN"/>
        </w:rPr>
        <w:t>同志在我委担任委员，根据省市场局要求和江苏省钢铁及金属新材料标准化技术委员会的规定，现向贵单位征询是否需要调整人员(如需调整请填写调整建议）。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特此函询！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江苏省钢铁及金属新材料标准化技术委员会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 xml:space="preserve">                2024-5-28</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center"/>
        <w:textAlignment w:val="auto"/>
        <w:rPr>
          <w:rFonts w:hint="default" w:ascii="Times New Roman" w:hAnsi="Times New Roman" w:eastAsia="宋体" w:cs="宋体"/>
          <w:sz w:val="28"/>
          <w:szCs w:val="28"/>
          <w:u w:val="none"/>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-1109345</wp:posOffset>
                </wp:positionH>
                <wp:positionV relativeFrom="paragraph">
                  <wp:posOffset>130810</wp:posOffset>
                </wp:positionV>
                <wp:extent cx="7581900" cy="0"/>
                <wp:effectExtent l="0" t="9525" r="0" b="9525"/>
                <wp:wrapNone/>
                <wp:docPr id="1" name="直接连接符 1"/>
                <wp:cNvGraphicFramePr/>
                <a:graphic xmlns:a="http://schemas.openxmlformats.org/drawingml/2006/main">
                  <a:graphicData uri="http://schemas.microsoft.com/office/word/2010/wordprocessingShape">
                    <wps:wsp>
                      <wps:cNvCnPr/>
                      <wps:spPr>
                        <a:xfrm>
                          <a:off x="5080" y="6641465"/>
                          <a:ext cx="7581900" cy="0"/>
                        </a:xfrm>
                        <a:prstGeom prst="line">
                          <a:avLst/>
                        </a:prstGeom>
                        <a:ln w="19050" cmpd="sng">
                          <a:solidFill>
                            <a:schemeClr val="tx1"/>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87.35pt;margin-top:10.3pt;height:0pt;width:597pt;z-index:251659264;mso-width-relative:page;mso-height-relative:page;" filled="f" stroked="t" coordsize="21600,21600" o:gfxdata="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qhS8TbAAAACwEAAA8AAAAAAAAAAQAgAAAAIgAAAGRycy9kb3ducmV2LnhtbFBLAQIU&#10;ABQAAAAIAIdO4kCF0M5P8AEAALwDAAAOAAAAAAAAAAEAIAAAACoBAABkcnMvZTJvRG9jLnhtbFBL&#10;BQYAAAAABgAGAFkBAACMBQAAAAA=&#10;">
                <v:fill on="f" focussize="0,0"/>
                <v:stroke weight="1.5pt" color="#000000 [3213]" miterlimit="8" joinstyle="miter" dashstyle="longDash"/>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关于调整江苏省钢铁及金属新材料标准化技术委员会委员的建议</w:t>
      </w:r>
    </w:p>
    <w:p>
      <w:pPr>
        <w:widowControl w:val="0"/>
        <w:numPr>
          <w:ilvl w:val="0"/>
          <w:numId w:val="0"/>
        </w:numPr>
        <w:ind w:firstLine="1600" w:firstLineChars="500"/>
        <w:jc w:val="both"/>
        <w:rPr>
          <w:rFonts w:hint="eastAsia" w:ascii="Times New Roman" w:hAnsi="Times New Roman" w:eastAsia="黑体" w:cs="黑体"/>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江苏省钢铁及金属新材料标准化技术委员会：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宋体"/>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我单位</w:t>
      </w:r>
      <w:r>
        <w:rPr>
          <w:rFonts w:hint="eastAsia" w:ascii="Times New Roman" w:hAnsi="Times New Roman" w:eastAsia="宋体" w:cs="宋体"/>
          <w:sz w:val="28"/>
          <w:szCs w:val="28"/>
          <w:u w:val="single"/>
          <w:lang w:val="en-US" w:eastAsia="zh-CN"/>
        </w:rPr>
        <w:t xml:space="preserve">                 </w:t>
      </w:r>
      <w:r>
        <w:rPr>
          <w:rFonts w:hint="eastAsia" w:ascii="Times New Roman" w:hAnsi="Times New Roman" w:eastAsia="宋体" w:cs="宋体"/>
          <w:sz w:val="28"/>
          <w:szCs w:val="28"/>
          <w:u w:val="none"/>
          <w:lang w:val="en-US" w:eastAsia="zh-CN"/>
        </w:rPr>
        <w:t>同志在贵委担任委员，因该同志（</w:t>
      </w:r>
      <w:r>
        <w:rPr>
          <w:rFonts w:hint="eastAsia" w:ascii="Times New Roman" w:hAnsi="Times New Roman" w:eastAsia="宋体" w:cs="宋体"/>
          <w:sz w:val="28"/>
          <w:szCs w:val="28"/>
          <w:u w:val="none"/>
          <w:lang w:val="en-US" w:eastAsia="zh-CN"/>
        </w:rPr>
        <w:sym w:font="Wingdings 2" w:char="00A3"/>
      </w:r>
      <w:r>
        <w:rPr>
          <w:rFonts w:hint="eastAsia" w:ascii="Times New Roman" w:hAnsi="Times New Roman" w:eastAsia="宋体" w:cs="宋体"/>
          <w:sz w:val="28"/>
          <w:szCs w:val="28"/>
          <w:u w:val="none"/>
          <w:lang w:val="en-US" w:eastAsia="zh-CN"/>
        </w:rPr>
        <w:t>离职、</w:t>
      </w:r>
      <w:r>
        <w:rPr>
          <w:rFonts w:hint="eastAsia" w:ascii="Times New Roman" w:hAnsi="Times New Roman" w:eastAsia="宋体" w:cs="宋体"/>
          <w:sz w:val="28"/>
          <w:szCs w:val="28"/>
          <w:u w:val="none"/>
          <w:lang w:val="en-US" w:eastAsia="zh-CN"/>
        </w:rPr>
        <w:sym w:font="Wingdings 2" w:char="00A3"/>
      </w:r>
      <w:r>
        <w:rPr>
          <w:rFonts w:hint="eastAsia" w:ascii="Times New Roman" w:hAnsi="Times New Roman" w:eastAsia="宋体" w:cs="宋体"/>
          <w:sz w:val="28"/>
          <w:szCs w:val="28"/>
          <w:u w:val="none"/>
          <w:lang w:val="en-US" w:eastAsia="zh-CN"/>
        </w:rPr>
        <w:t>退休、</w:t>
      </w:r>
      <w:r>
        <w:rPr>
          <w:rFonts w:hint="eastAsia" w:ascii="Times New Roman" w:hAnsi="Times New Roman" w:eastAsia="宋体" w:cs="宋体"/>
          <w:sz w:val="28"/>
          <w:szCs w:val="28"/>
          <w:u w:val="none"/>
          <w:lang w:val="en-US" w:eastAsia="zh-CN"/>
        </w:rPr>
        <w:sym w:font="Wingdings 2" w:char="00A3"/>
      </w:r>
      <w:r>
        <w:rPr>
          <w:rFonts w:hint="eastAsia" w:ascii="Times New Roman" w:hAnsi="Times New Roman" w:eastAsia="宋体" w:cs="宋体"/>
          <w:sz w:val="28"/>
          <w:szCs w:val="28"/>
          <w:u w:val="none"/>
          <w:lang w:val="en-US" w:eastAsia="zh-CN"/>
        </w:rPr>
        <w:t>转岗、</w:t>
      </w:r>
      <w:r>
        <w:rPr>
          <w:rFonts w:hint="eastAsia" w:ascii="Times New Roman" w:hAnsi="Times New Roman" w:eastAsia="宋体" w:cs="宋体"/>
          <w:sz w:val="28"/>
          <w:szCs w:val="28"/>
          <w:u w:val="none"/>
          <w:lang w:val="en-US" w:eastAsia="zh-CN"/>
        </w:rPr>
        <w:sym w:font="Wingdings 2" w:char="00A3"/>
      </w:r>
      <w:r>
        <w:rPr>
          <w:rFonts w:hint="eastAsia" w:ascii="Times New Roman" w:hAnsi="Times New Roman" w:eastAsia="宋体" w:cs="宋体"/>
          <w:sz w:val="28"/>
          <w:szCs w:val="28"/>
          <w:u w:val="none"/>
          <w:lang w:val="en-US" w:eastAsia="zh-CN"/>
        </w:rPr>
        <w:t>其他-</w:t>
      </w:r>
      <w:r>
        <w:rPr>
          <w:rFonts w:hint="eastAsia" w:ascii="Times New Roman" w:hAnsi="Times New Roman" w:eastAsia="宋体" w:cs="宋体"/>
          <w:sz w:val="28"/>
          <w:szCs w:val="28"/>
          <w:u w:val="single"/>
          <w:lang w:val="en-US" w:eastAsia="zh-CN"/>
        </w:rPr>
        <w:t xml:space="preserve">         </w:t>
      </w:r>
      <w:r>
        <w:rPr>
          <w:rFonts w:hint="eastAsia" w:ascii="Times New Roman" w:hAnsi="Times New Roman" w:eastAsia="宋体" w:cs="宋体"/>
          <w:sz w:val="28"/>
          <w:szCs w:val="28"/>
          <w:u w:val="none"/>
          <w:lang w:val="en-US" w:eastAsia="zh-CN"/>
        </w:rPr>
        <w:t>）已不适合担任委员职务，现推荐</w:t>
      </w:r>
      <w:r>
        <w:rPr>
          <w:rFonts w:hint="eastAsia" w:ascii="Times New Roman" w:hAnsi="Times New Roman" w:eastAsia="宋体" w:cs="宋体"/>
          <w:sz w:val="28"/>
          <w:szCs w:val="28"/>
          <w:u w:val="single"/>
          <w:lang w:val="en-US" w:eastAsia="zh-CN"/>
        </w:rPr>
        <w:t xml:space="preserve">                     </w:t>
      </w:r>
      <w:r>
        <w:rPr>
          <w:rFonts w:hint="eastAsia" w:ascii="Times New Roman" w:hAnsi="Times New Roman" w:eastAsia="宋体" w:cs="宋体"/>
          <w:sz w:val="28"/>
          <w:szCs w:val="28"/>
          <w:u w:val="none"/>
          <w:lang w:val="en-US" w:eastAsia="zh-CN"/>
        </w:rPr>
        <w:t>同志担任贵委委员。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宋体"/>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特此函告！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 xml:space="preserve">                                     XXXXX单位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宋体"/>
          <w:sz w:val="28"/>
          <w:szCs w:val="28"/>
          <w:u w:val="none"/>
          <w:lang w:val="en-US" w:eastAsia="zh-CN"/>
        </w:rPr>
      </w:pPr>
      <w:r>
        <w:rPr>
          <w:rFonts w:hint="eastAsia" w:ascii="Times New Roman" w:hAnsi="Times New Roman" w:eastAsia="宋体" w:cs="宋体"/>
          <w:sz w:val="28"/>
          <w:szCs w:val="28"/>
          <w:u w:val="none"/>
          <w:lang w:val="en-US" w:eastAsia="zh-CN"/>
        </w:rPr>
        <w:t xml:space="preserve">                                     年   月   日</w:t>
      </w:r>
    </w:p>
    <w:p>
      <w:pPr>
        <w:widowControl w:val="0"/>
        <w:kinsoku/>
        <w:autoSpaceDE/>
        <w:autoSpaceDN/>
        <w:adjustRightInd/>
        <w:snapToGrid w:val="0"/>
        <w:spacing w:line="336" w:lineRule="auto"/>
        <w:ind w:left="-1459" w:leftChars="-695" w:firstLine="1600" w:firstLineChars="5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附件6：</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u w:val="none"/>
          <w:lang w:val="en-US" w:eastAsia="zh-CN"/>
        </w:rPr>
      </w:pPr>
      <w:r>
        <w:rPr>
          <w:rFonts w:hint="eastAsia" w:ascii="Times New Roman" w:hAnsi="Times New Roman" w:eastAsia="黑体" w:cs="黑体"/>
          <w:sz w:val="32"/>
          <w:szCs w:val="32"/>
          <w:u w:val="none"/>
          <w:lang w:val="en-US" w:eastAsia="zh-CN"/>
        </w:rPr>
        <w:t>会议回执</w:t>
      </w:r>
    </w:p>
    <w:tbl>
      <w:tblPr>
        <w:tblStyle w:val="8"/>
        <w:tblW w:w="992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34"/>
        <w:gridCol w:w="1033"/>
        <w:gridCol w:w="1873"/>
        <w:gridCol w:w="2791"/>
        <w:gridCol w:w="259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jc w:val="center"/>
        </w:trPr>
        <w:tc>
          <w:tcPr>
            <w:tcW w:w="1634" w:type="dxa"/>
            <w:vAlign w:val="top"/>
          </w:tcPr>
          <w:p>
            <w:pPr>
              <w:pStyle w:val="7"/>
              <w:spacing w:before="81" w:line="224" w:lineRule="auto"/>
              <w:ind w:firstLine="233" w:firstLineChars="100"/>
              <w:rPr>
                <w:rFonts w:hint="eastAsia"/>
                <w:b/>
                <w:bCs/>
                <w:spacing w:val="-4"/>
                <w:lang w:val="en-US" w:eastAsia="zh-CN"/>
              </w:rPr>
            </w:pPr>
            <w:r>
              <w:rPr>
                <w:rFonts w:hint="eastAsia"/>
                <w:b/>
                <w:bCs/>
                <w:spacing w:val="-4"/>
                <w:lang w:val="en-US" w:eastAsia="zh-CN"/>
              </w:rPr>
              <w:t>单位名称</w:t>
            </w:r>
          </w:p>
        </w:tc>
        <w:tc>
          <w:tcPr>
            <w:tcW w:w="8287" w:type="dxa"/>
            <w:gridSpan w:val="4"/>
            <w:vAlign w:val="top"/>
          </w:tcPr>
          <w:p>
            <w:pPr>
              <w:pStyle w:val="7"/>
              <w:spacing w:before="81" w:line="224" w:lineRule="auto"/>
              <w:ind w:firstLine="232" w:firstLineChars="100"/>
              <w:rPr>
                <w:rFonts w:hint="eastAsia"/>
                <w:spacing w:val="-4"/>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jc w:val="center"/>
        </w:trPr>
        <w:tc>
          <w:tcPr>
            <w:tcW w:w="1634" w:type="dxa"/>
            <w:vAlign w:val="top"/>
          </w:tcPr>
          <w:p>
            <w:pPr>
              <w:pStyle w:val="7"/>
              <w:spacing w:before="81" w:line="224" w:lineRule="auto"/>
              <w:ind w:firstLine="233" w:firstLineChars="100"/>
              <w:rPr>
                <w:b/>
                <w:bCs/>
              </w:rPr>
            </w:pPr>
            <w:r>
              <w:rPr>
                <w:b/>
                <w:bCs/>
                <w:spacing w:val="-4"/>
              </w:rPr>
              <w:t>姓</w:t>
            </w:r>
            <w:r>
              <w:rPr>
                <w:rFonts w:hint="eastAsia"/>
                <w:b/>
                <w:bCs/>
                <w:spacing w:val="-4"/>
                <w:lang w:val="en-US" w:eastAsia="zh-CN"/>
              </w:rPr>
              <w:t xml:space="preserve">    </w:t>
            </w:r>
            <w:r>
              <w:rPr>
                <w:b/>
                <w:bCs/>
                <w:spacing w:val="-4"/>
              </w:rPr>
              <w:t>名</w:t>
            </w:r>
          </w:p>
        </w:tc>
        <w:tc>
          <w:tcPr>
            <w:tcW w:w="1033" w:type="dxa"/>
            <w:vAlign w:val="top"/>
          </w:tcPr>
          <w:p>
            <w:pPr>
              <w:pStyle w:val="7"/>
              <w:spacing w:before="82" w:line="220" w:lineRule="auto"/>
              <w:jc w:val="center"/>
              <w:rPr>
                <w:b/>
                <w:bCs/>
              </w:rPr>
            </w:pPr>
            <w:r>
              <w:rPr>
                <w:b/>
                <w:bCs/>
                <w:spacing w:val="-10"/>
              </w:rPr>
              <w:t>性</w:t>
            </w:r>
            <w:r>
              <w:rPr>
                <w:rFonts w:hint="eastAsia"/>
                <w:b/>
                <w:bCs/>
                <w:spacing w:val="-10"/>
                <w:lang w:val="en-US" w:eastAsia="zh-CN"/>
              </w:rPr>
              <w:t xml:space="preserve">  </w:t>
            </w:r>
            <w:r>
              <w:rPr>
                <w:b/>
                <w:bCs/>
                <w:spacing w:val="-10"/>
              </w:rPr>
              <w:t>别</w:t>
            </w:r>
          </w:p>
        </w:tc>
        <w:tc>
          <w:tcPr>
            <w:tcW w:w="1873" w:type="dxa"/>
            <w:vAlign w:val="top"/>
          </w:tcPr>
          <w:p>
            <w:pPr>
              <w:pStyle w:val="7"/>
              <w:spacing w:before="82" w:line="223" w:lineRule="auto"/>
              <w:ind w:left="584"/>
              <w:rPr>
                <w:b/>
                <w:bCs/>
              </w:rPr>
            </w:pPr>
            <w:r>
              <w:rPr>
                <w:b/>
                <w:bCs/>
                <w:spacing w:val="-8"/>
              </w:rPr>
              <w:t>职</w:t>
            </w:r>
            <w:r>
              <w:rPr>
                <w:rFonts w:hint="eastAsia"/>
                <w:b/>
                <w:bCs/>
                <w:spacing w:val="-8"/>
                <w:lang w:val="en-US" w:eastAsia="zh-CN"/>
              </w:rPr>
              <w:t xml:space="preserve">  </w:t>
            </w:r>
            <w:r>
              <w:rPr>
                <w:b/>
                <w:bCs/>
                <w:spacing w:val="-8"/>
              </w:rPr>
              <w:t>务</w:t>
            </w:r>
          </w:p>
        </w:tc>
        <w:tc>
          <w:tcPr>
            <w:tcW w:w="2791" w:type="dxa"/>
            <w:vAlign w:val="top"/>
          </w:tcPr>
          <w:p>
            <w:pPr>
              <w:pStyle w:val="7"/>
              <w:spacing w:before="82" w:line="222" w:lineRule="auto"/>
              <w:jc w:val="center"/>
              <w:rPr>
                <w:rFonts w:hint="default" w:eastAsia="仿宋"/>
                <w:b/>
                <w:bCs/>
                <w:lang w:val="en-US" w:eastAsia="zh-CN"/>
              </w:rPr>
            </w:pPr>
            <w:r>
              <w:rPr>
                <w:rFonts w:hint="eastAsia"/>
                <w:b/>
                <w:bCs/>
                <w:spacing w:val="-10"/>
                <w:lang w:val="en-US" w:eastAsia="zh-CN"/>
              </w:rPr>
              <w:t>联系电话</w:t>
            </w:r>
          </w:p>
        </w:tc>
        <w:tc>
          <w:tcPr>
            <w:tcW w:w="2590" w:type="dxa"/>
            <w:vAlign w:val="top"/>
          </w:tcPr>
          <w:p>
            <w:pPr>
              <w:pStyle w:val="7"/>
              <w:spacing w:before="81" w:line="242" w:lineRule="auto"/>
              <w:ind w:left="944"/>
              <w:rPr>
                <w:b/>
                <w:bCs/>
              </w:rPr>
            </w:pPr>
            <w:r>
              <w:rPr>
                <w:b/>
                <w:bCs/>
                <w:spacing w:val="-1"/>
              </w:rPr>
              <w:t>E-mail</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34" w:type="dxa"/>
            <w:vAlign w:val="top"/>
          </w:tcPr>
          <w:p>
            <w:pPr>
              <w:pStyle w:val="7"/>
              <w:spacing w:before="81" w:line="224" w:lineRule="auto"/>
              <w:ind w:firstLine="232" w:firstLineChars="100"/>
              <w:rPr>
                <w:rFonts w:hint="eastAsia"/>
                <w:spacing w:val="-4"/>
                <w:lang w:val="en-US" w:eastAsia="zh-CN"/>
              </w:rPr>
            </w:pPr>
          </w:p>
        </w:tc>
        <w:tc>
          <w:tcPr>
            <w:tcW w:w="1033" w:type="dxa"/>
            <w:vAlign w:val="top"/>
          </w:tcPr>
          <w:p>
            <w:pPr>
              <w:pStyle w:val="7"/>
              <w:spacing w:before="81" w:line="224" w:lineRule="auto"/>
              <w:ind w:firstLine="232" w:firstLineChars="100"/>
              <w:rPr>
                <w:rFonts w:hint="eastAsia"/>
                <w:spacing w:val="-4"/>
                <w:lang w:val="en-US" w:eastAsia="zh-CN"/>
              </w:rPr>
            </w:pPr>
          </w:p>
        </w:tc>
        <w:tc>
          <w:tcPr>
            <w:tcW w:w="1873" w:type="dxa"/>
            <w:vAlign w:val="top"/>
          </w:tcPr>
          <w:p>
            <w:pPr>
              <w:pStyle w:val="7"/>
              <w:spacing w:before="81" w:line="224" w:lineRule="auto"/>
              <w:ind w:firstLine="232" w:firstLineChars="100"/>
              <w:rPr>
                <w:rFonts w:hint="eastAsia"/>
                <w:spacing w:val="-4"/>
                <w:lang w:val="en-US" w:eastAsia="zh-CN"/>
              </w:rPr>
            </w:pPr>
          </w:p>
        </w:tc>
        <w:tc>
          <w:tcPr>
            <w:tcW w:w="2791" w:type="dxa"/>
            <w:vAlign w:val="top"/>
          </w:tcPr>
          <w:p>
            <w:pPr>
              <w:pStyle w:val="7"/>
              <w:spacing w:before="81" w:line="224" w:lineRule="auto"/>
              <w:ind w:firstLine="232" w:firstLineChars="100"/>
              <w:rPr>
                <w:rFonts w:hint="eastAsia"/>
                <w:spacing w:val="-4"/>
                <w:lang w:val="en-US" w:eastAsia="zh-CN"/>
              </w:rPr>
            </w:pPr>
          </w:p>
        </w:tc>
        <w:tc>
          <w:tcPr>
            <w:tcW w:w="259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34" w:type="dxa"/>
            <w:vAlign w:val="top"/>
          </w:tcPr>
          <w:p>
            <w:pPr>
              <w:pStyle w:val="7"/>
              <w:spacing w:before="81" w:line="224" w:lineRule="auto"/>
              <w:ind w:firstLine="232" w:firstLineChars="100"/>
              <w:rPr>
                <w:rFonts w:hint="eastAsia"/>
                <w:spacing w:val="-4"/>
                <w:lang w:val="en-US" w:eastAsia="zh-CN"/>
              </w:rPr>
            </w:pPr>
          </w:p>
        </w:tc>
        <w:tc>
          <w:tcPr>
            <w:tcW w:w="1033" w:type="dxa"/>
            <w:vAlign w:val="top"/>
          </w:tcPr>
          <w:p>
            <w:pPr>
              <w:pStyle w:val="7"/>
              <w:spacing w:before="81" w:line="224" w:lineRule="auto"/>
              <w:ind w:firstLine="232" w:firstLineChars="100"/>
              <w:rPr>
                <w:rFonts w:hint="eastAsia"/>
                <w:spacing w:val="-4"/>
                <w:lang w:val="en-US" w:eastAsia="zh-CN"/>
              </w:rPr>
            </w:pPr>
          </w:p>
        </w:tc>
        <w:tc>
          <w:tcPr>
            <w:tcW w:w="1873" w:type="dxa"/>
            <w:vAlign w:val="top"/>
          </w:tcPr>
          <w:p>
            <w:pPr>
              <w:pStyle w:val="7"/>
              <w:spacing w:before="81" w:line="224" w:lineRule="auto"/>
              <w:ind w:firstLine="232" w:firstLineChars="100"/>
              <w:rPr>
                <w:rFonts w:hint="eastAsia"/>
                <w:spacing w:val="-4"/>
                <w:lang w:val="en-US" w:eastAsia="zh-CN"/>
              </w:rPr>
            </w:pPr>
          </w:p>
        </w:tc>
        <w:tc>
          <w:tcPr>
            <w:tcW w:w="2791" w:type="dxa"/>
            <w:vAlign w:val="top"/>
          </w:tcPr>
          <w:p>
            <w:pPr>
              <w:pStyle w:val="7"/>
              <w:spacing w:before="81" w:line="224" w:lineRule="auto"/>
              <w:ind w:firstLine="232" w:firstLineChars="100"/>
              <w:rPr>
                <w:rFonts w:hint="eastAsia"/>
                <w:spacing w:val="-4"/>
                <w:lang w:val="en-US" w:eastAsia="zh-CN"/>
              </w:rPr>
            </w:pPr>
          </w:p>
        </w:tc>
        <w:tc>
          <w:tcPr>
            <w:tcW w:w="259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34" w:type="dxa"/>
            <w:vAlign w:val="top"/>
          </w:tcPr>
          <w:p>
            <w:pPr>
              <w:pStyle w:val="7"/>
              <w:spacing w:before="81" w:line="224" w:lineRule="auto"/>
              <w:ind w:firstLine="232" w:firstLineChars="100"/>
              <w:rPr>
                <w:rFonts w:hint="eastAsia"/>
                <w:spacing w:val="-4"/>
                <w:lang w:val="en-US" w:eastAsia="zh-CN"/>
              </w:rPr>
            </w:pPr>
          </w:p>
        </w:tc>
        <w:tc>
          <w:tcPr>
            <w:tcW w:w="1033" w:type="dxa"/>
            <w:vAlign w:val="top"/>
          </w:tcPr>
          <w:p>
            <w:pPr>
              <w:pStyle w:val="7"/>
              <w:spacing w:before="81" w:line="224" w:lineRule="auto"/>
              <w:ind w:firstLine="232" w:firstLineChars="100"/>
              <w:rPr>
                <w:rFonts w:hint="eastAsia"/>
                <w:spacing w:val="-4"/>
                <w:lang w:val="en-US" w:eastAsia="zh-CN"/>
              </w:rPr>
            </w:pPr>
          </w:p>
        </w:tc>
        <w:tc>
          <w:tcPr>
            <w:tcW w:w="1873" w:type="dxa"/>
            <w:vAlign w:val="top"/>
          </w:tcPr>
          <w:p>
            <w:pPr>
              <w:pStyle w:val="7"/>
              <w:spacing w:before="81" w:line="224" w:lineRule="auto"/>
              <w:ind w:firstLine="232" w:firstLineChars="100"/>
              <w:rPr>
                <w:rFonts w:hint="eastAsia"/>
                <w:spacing w:val="-4"/>
                <w:lang w:val="en-US" w:eastAsia="zh-CN"/>
              </w:rPr>
            </w:pPr>
          </w:p>
        </w:tc>
        <w:tc>
          <w:tcPr>
            <w:tcW w:w="2791" w:type="dxa"/>
            <w:vAlign w:val="top"/>
          </w:tcPr>
          <w:p>
            <w:pPr>
              <w:pStyle w:val="7"/>
              <w:spacing w:before="81" w:line="224" w:lineRule="auto"/>
              <w:ind w:firstLine="232" w:firstLineChars="100"/>
              <w:rPr>
                <w:rFonts w:hint="eastAsia"/>
                <w:spacing w:val="-4"/>
                <w:lang w:val="en-US" w:eastAsia="zh-CN"/>
              </w:rPr>
            </w:pPr>
          </w:p>
        </w:tc>
        <w:tc>
          <w:tcPr>
            <w:tcW w:w="259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34" w:type="dxa"/>
            <w:vAlign w:val="top"/>
          </w:tcPr>
          <w:p>
            <w:pPr>
              <w:pStyle w:val="7"/>
              <w:spacing w:before="81" w:line="224" w:lineRule="auto"/>
              <w:ind w:firstLine="232" w:firstLineChars="100"/>
              <w:rPr>
                <w:rFonts w:hint="eastAsia"/>
                <w:spacing w:val="-4"/>
                <w:lang w:val="en-US" w:eastAsia="zh-CN"/>
              </w:rPr>
            </w:pPr>
          </w:p>
        </w:tc>
        <w:tc>
          <w:tcPr>
            <w:tcW w:w="1033" w:type="dxa"/>
            <w:vAlign w:val="top"/>
          </w:tcPr>
          <w:p>
            <w:pPr>
              <w:pStyle w:val="7"/>
              <w:spacing w:before="81" w:line="224" w:lineRule="auto"/>
              <w:ind w:firstLine="232" w:firstLineChars="100"/>
              <w:rPr>
                <w:rFonts w:hint="eastAsia"/>
                <w:spacing w:val="-4"/>
                <w:lang w:val="en-US" w:eastAsia="zh-CN"/>
              </w:rPr>
            </w:pPr>
          </w:p>
        </w:tc>
        <w:tc>
          <w:tcPr>
            <w:tcW w:w="1873" w:type="dxa"/>
            <w:vAlign w:val="top"/>
          </w:tcPr>
          <w:p>
            <w:pPr>
              <w:pStyle w:val="7"/>
              <w:spacing w:before="81" w:line="224" w:lineRule="auto"/>
              <w:ind w:firstLine="232" w:firstLineChars="100"/>
              <w:rPr>
                <w:rFonts w:hint="eastAsia"/>
                <w:spacing w:val="-4"/>
                <w:lang w:val="en-US" w:eastAsia="zh-CN"/>
              </w:rPr>
            </w:pPr>
          </w:p>
        </w:tc>
        <w:tc>
          <w:tcPr>
            <w:tcW w:w="2791" w:type="dxa"/>
            <w:vAlign w:val="top"/>
          </w:tcPr>
          <w:p>
            <w:pPr>
              <w:pStyle w:val="7"/>
              <w:spacing w:before="81" w:line="224" w:lineRule="auto"/>
              <w:ind w:firstLine="232" w:firstLineChars="100"/>
              <w:rPr>
                <w:rFonts w:hint="eastAsia"/>
                <w:spacing w:val="-4"/>
                <w:lang w:val="en-US" w:eastAsia="zh-CN"/>
              </w:rPr>
            </w:pPr>
          </w:p>
        </w:tc>
        <w:tc>
          <w:tcPr>
            <w:tcW w:w="259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34" w:type="dxa"/>
            <w:vAlign w:val="top"/>
          </w:tcPr>
          <w:p>
            <w:pPr>
              <w:pStyle w:val="7"/>
              <w:spacing w:before="81" w:line="224" w:lineRule="auto"/>
              <w:ind w:firstLine="232" w:firstLineChars="100"/>
              <w:rPr>
                <w:rFonts w:hint="eastAsia"/>
                <w:spacing w:val="-4"/>
                <w:lang w:val="en-US" w:eastAsia="zh-CN"/>
              </w:rPr>
            </w:pPr>
          </w:p>
        </w:tc>
        <w:tc>
          <w:tcPr>
            <w:tcW w:w="1033" w:type="dxa"/>
            <w:vAlign w:val="top"/>
          </w:tcPr>
          <w:p>
            <w:pPr>
              <w:pStyle w:val="7"/>
              <w:spacing w:before="81" w:line="224" w:lineRule="auto"/>
              <w:ind w:firstLine="232" w:firstLineChars="100"/>
              <w:rPr>
                <w:rFonts w:hint="eastAsia"/>
                <w:spacing w:val="-4"/>
                <w:lang w:val="en-US" w:eastAsia="zh-CN"/>
              </w:rPr>
            </w:pPr>
          </w:p>
        </w:tc>
        <w:tc>
          <w:tcPr>
            <w:tcW w:w="1873" w:type="dxa"/>
            <w:vAlign w:val="top"/>
          </w:tcPr>
          <w:p>
            <w:pPr>
              <w:pStyle w:val="7"/>
              <w:spacing w:before="81" w:line="224" w:lineRule="auto"/>
              <w:ind w:firstLine="232" w:firstLineChars="100"/>
              <w:rPr>
                <w:rFonts w:hint="eastAsia"/>
                <w:spacing w:val="-4"/>
                <w:lang w:val="en-US" w:eastAsia="zh-CN"/>
              </w:rPr>
            </w:pPr>
          </w:p>
        </w:tc>
        <w:tc>
          <w:tcPr>
            <w:tcW w:w="2791" w:type="dxa"/>
            <w:vAlign w:val="top"/>
          </w:tcPr>
          <w:p>
            <w:pPr>
              <w:pStyle w:val="7"/>
              <w:spacing w:before="81" w:line="224" w:lineRule="auto"/>
              <w:ind w:firstLine="232" w:firstLineChars="100"/>
              <w:rPr>
                <w:rFonts w:hint="eastAsia"/>
                <w:spacing w:val="-4"/>
                <w:lang w:val="en-US" w:eastAsia="zh-CN"/>
              </w:rPr>
            </w:pPr>
          </w:p>
        </w:tc>
        <w:tc>
          <w:tcPr>
            <w:tcW w:w="259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34" w:type="dxa"/>
            <w:vAlign w:val="top"/>
          </w:tcPr>
          <w:p>
            <w:pPr>
              <w:pStyle w:val="7"/>
              <w:spacing w:before="81" w:line="224" w:lineRule="auto"/>
              <w:ind w:firstLine="232" w:firstLineChars="100"/>
              <w:rPr>
                <w:rFonts w:hint="eastAsia"/>
                <w:spacing w:val="-4"/>
                <w:lang w:val="en-US" w:eastAsia="zh-CN"/>
              </w:rPr>
            </w:pPr>
          </w:p>
        </w:tc>
        <w:tc>
          <w:tcPr>
            <w:tcW w:w="1033" w:type="dxa"/>
            <w:vAlign w:val="top"/>
          </w:tcPr>
          <w:p>
            <w:pPr>
              <w:pStyle w:val="7"/>
              <w:spacing w:before="81" w:line="224" w:lineRule="auto"/>
              <w:ind w:firstLine="232" w:firstLineChars="100"/>
              <w:rPr>
                <w:rFonts w:hint="eastAsia"/>
                <w:spacing w:val="-4"/>
                <w:lang w:val="en-US" w:eastAsia="zh-CN"/>
              </w:rPr>
            </w:pPr>
          </w:p>
        </w:tc>
        <w:tc>
          <w:tcPr>
            <w:tcW w:w="1873" w:type="dxa"/>
            <w:vAlign w:val="top"/>
          </w:tcPr>
          <w:p>
            <w:pPr>
              <w:pStyle w:val="7"/>
              <w:spacing w:before="81" w:line="224" w:lineRule="auto"/>
              <w:ind w:firstLine="232" w:firstLineChars="100"/>
              <w:rPr>
                <w:rFonts w:hint="eastAsia"/>
                <w:spacing w:val="-4"/>
                <w:lang w:val="en-US" w:eastAsia="zh-CN"/>
              </w:rPr>
            </w:pPr>
          </w:p>
        </w:tc>
        <w:tc>
          <w:tcPr>
            <w:tcW w:w="2791" w:type="dxa"/>
            <w:vAlign w:val="top"/>
          </w:tcPr>
          <w:p>
            <w:pPr>
              <w:pStyle w:val="7"/>
              <w:spacing w:before="81" w:line="224" w:lineRule="auto"/>
              <w:ind w:firstLine="232" w:firstLineChars="100"/>
              <w:rPr>
                <w:rFonts w:hint="eastAsia"/>
                <w:spacing w:val="-4"/>
                <w:lang w:val="en-US" w:eastAsia="zh-CN"/>
              </w:rPr>
            </w:pPr>
          </w:p>
        </w:tc>
        <w:tc>
          <w:tcPr>
            <w:tcW w:w="259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34" w:type="dxa"/>
            <w:vAlign w:val="top"/>
          </w:tcPr>
          <w:p>
            <w:pPr>
              <w:pStyle w:val="7"/>
              <w:spacing w:before="81" w:line="224" w:lineRule="auto"/>
              <w:ind w:firstLine="232" w:firstLineChars="100"/>
              <w:rPr>
                <w:rFonts w:hint="eastAsia"/>
                <w:spacing w:val="-4"/>
                <w:lang w:val="en-US" w:eastAsia="zh-CN"/>
              </w:rPr>
            </w:pPr>
          </w:p>
        </w:tc>
        <w:tc>
          <w:tcPr>
            <w:tcW w:w="1033" w:type="dxa"/>
            <w:vAlign w:val="top"/>
          </w:tcPr>
          <w:p>
            <w:pPr>
              <w:pStyle w:val="7"/>
              <w:spacing w:before="81" w:line="224" w:lineRule="auto"/>
              <w:ind w:firstLine="232" w:firstLineChars="100"/>
              <w:rPr>
                <w:rFonts w:hint="eastAsia"/>
                <w:spacing w:val="-4"/>
                <w:lang w:val="en-US" w:eastAsia="zh-CN"/>
              </w:rPr>
            </w:pPr>
          </w:p>
        </w:tc>
        <w:tc>
          <w:tcPr>
            <w:tcW w:w="1873" w:type="dxa"/>
            <w:vAlign w:val="top"/>
          </w:tcPr>
          <w:p>
            <w:pPr>
              <w:pStyle w:val="7"/>
              <w:spacing w:before="81" w:line="224" w:lineRule="auto"/>
              <w:ind w:firstLine="232" w:firstLineChars="100"/>
              <w:rPr>
                <w:rFonts w:hint="eastAsia"/>
                <w:spacing w:val="-4"/>
                <w:lang w:val="en-US" w:eastAsia="zh-CN"/>
              </w:rPr>
            </w:pPr>
          </w:p>
        </w:tc>
        <w:tc>
          <w:tcPr>
            <w:tcW w:w="2791" w:type="dxa"/>
            <w:vAlign w:val="top"/>
          </w:tcPr>
          <w:p>
            <w:pPr>
              <w:pStyle w:val="7"/>
              <w:spacing w:before="81" w:line="224" w:lineRule="auto"/>
              <w:ind w:firstLine="232" w:firstLineChars="100"/>
              <w:rPr>
                <w:rFonts w:hint="eastAsia"/>
                <w:spacing w:val="-4"/>
                <w:lang w:val="en-US" w:eastAsia="zh-CN"/>
              </w:rPr>
            </w:pPr>
          </w:p>
        </w:tc>
        <w:tc>
          <w:tcPr>
            <w:tcW w:w="259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9921" w:type="dxa"/>
            <w:gridSpan w:val="5"/>
            <w:vAlign w:val="center"/>
          </w:tcPr>
          <w:p>
            <w:pPr>
              <w:jc w:val="center"/>
              <w:rPr>
                <w:rFonts w:hint="default" w:ascii="Arial" w:eastAsiaTheme="minorEastAsia"/>
                <w:sz w:val="21"/>
                <w:lang w:val="en-US" w:eastAsia="zh-CN"/>
              </w:rPr>
            </w:pPr>
            <w:r>
              <w:rPr>
                <w:rFonts w:hint="eastAsia" w:ascii="仿宋" w:hAnsi="仿宋" w:eastAsia="仿宋" w:cs="仿宋"/>
                <w:b/>
                <w:bCs/>
                <w:spacing w:val="-10"/>
                <w:kern w:val="2"/>
                <w:sz w:val="24"/>
                <w:szCs w:val="24"/>
                <w:lang w:val="en-US" w:eastAsia="zh-CN" w:bidi="ar-SA"/>
              </w:rPr>
              <w:t>报名联系方式：</w:t>
            </w:r>
            <w:r>
              <w:rPr>
                <w:rFonts w:hint="eastAsia" w:ascii="仿宋" w:hAnsi="仿宋" w:eastAsia="仿宋" w:cs="仿宋"/>
                <w:b w:val="0"/>
                <w:bCs w:val="0"/>
                <w:spacing w:val="-10"/>
                <w:kern w:val="2"/>
                <w:sz w:val="24"/>
                <w:szCs w:val="24"/>
                <w:lang w:val="en-US" w:eastAsia="zh-CN" w:bidi="ar-SA"/>
              </w:rPr>
              <w:t>陈轩宇13770503719、蒋莉18652992626 、梁超媛19952645907</w:t>
            </w:r>
            <w:r>
              <w:rPr>
                <w:rFonts w:hint="eastAsia" w:ascii="仿宋" w:hAnsi="仿宋" w:eastAsia="仿宋" w:cs="仿宋"/>
                <w:b w:val="0"/>
                <w:bCs w:val="0"/>
                <w:spacing w:val="-10"/>
                <w:kern w:val="2"/>
                <w:sz w:val="24"/>
                <w:szCs w:val="24"/>
                <w:lang w:val="en-US" w:eastAsia="zh-CN" w:bidi="ar-SA"/>
              </w:rPr>
              <w:t>邮 箱：jsgt003@126.com</w:t>
            </w:r>
          </w:p>
        </w:tc>
      </w:tr>
    </w:tbl>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宋体"/>
          <w:sz w:val="28"/>
          <w:szCs w:val="28"/>
          <w:u w:val="none"/>
          <w:lang w:val="en-US" w:eastAsia="zh-CN"/>
        </w:rPr>
      </w:pPr>
      <w:bookmarkStart w:id="0" w:name="_GoBack"/>
      <w:bookmarkEnd w:id="0"/>
    </w:p>
    <w:sectPr>
      <w:pgSz w:w="11910" w:h="16840"/>
      <w:pgMar w:top="1440" w:right="1800" w:bottom="1440" w:left="1800" w:header="1449" w:footer="1140" w:gutter="0"/>
      <w:pgNumType w:fmt="upperRoman" w:start="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7FDB1C2C-DE30-42D4-B025-1E3A56B1326B}"/>
  </w:font>
  <w:font w:name="黑体">
    <w:panose1 w:val="02010609060101010101"/>
    <w:charset w:val="86"/>
    <w:family w:val="auto"/>
    <w:pitch w:val="default"/>
    <w:sig w:usb0="800002BF" w:usb1="38CF7CFA" w:usb2="00000016" w:usb3="00000000" w:csb0="00040001" w:csb1="00000000"/>
    <w:embedRegular r:id="rId2" w:fontKey="{A61DE51B-9A40-4CDD-84BF-99E3EF35D5D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embedRegular r:id="rId3" w:fontKey="{9D9863CF-6209-4DB4-9C50-869B0162BD76}"/>
  </w:font>
  <w:font w:name="Wingdings 2">
    <w:panose1 w:val="05020102010507070707"/>
    <w:charset w:val="00"/>
    <w:family w:val="auto"/>
    <w:pitch w:val="default"/>
    <w:sig w:usb0="00000000" w:usb1="00000000" w:usb2="00000000" w:usb3="00000000" w:csb0="80000000" w:csb1="00000000"/>
    <w:embedRegular r:id="rId4" w:fontKey="{22E29B29-BE65-4176-A543-44824A29ED91}"/>
  </w:font>
  <w:font w:name="小标宋体">
    <w:altName w:val="宋体"/>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hZjRhMGI1NmQ3NTMzZjNhYTUxNTQ4OTYyODU3ZDEifQ=="/>
  </w:docVars>
  <w:rsids>
    <w:rsidRoot w:val="00000000"/>
    <w:rsid w:val="032023F3"/>
    <w:rsid w:val="12781B2B"/>
    <w:rsid w:val="127F7501"/>
    <w:rsid w:val="12C85C52"/>
    <w:rsid w:val="16C61879"/>
    <w:rsid w:val="18F30926"/>
    <w:rsid w:val="1A251ACD"/>
    <w:rsid w:val="1A851CA5"/>
    <w:rsid w:val="1B2B669B"/>
    <w:rsid w:val="1B506C7D"/>
    <w:rsid w:val="1DFE0C4B"/>
    <w:rsid w:val="212A5A00"/>
    <w:rsid w:val="21C30BFB"/>
    <w:rsid w:val="27447049"/>
    <w:rsid w:val="2826784C"/>
    <w:rsid w:val="2B165135"/>
    <w:rsid w:val="2FE25C76"/>
    <w:rsid w:val="35092BB5"/>
    <w:rsid w:val="362C2683"/>
    <w:rsid w:val="36805F9D"/>
    <w:rsid w:val="39FA3007"/>
    <w:rsid w:val="3F6C3691"/>
    <w:rsid w:val="44E3286D"/>
    <w:rsid w:val="450F35E5"/>
    <w:rsid w:val="4C231E24"/>
    <w:rsid w:val="4C5A3FF8"/>
    <w:rsid w:val="501D4AF9"/>
    <w:rsid w:val="55EA620D"/>
    <w:rsid w:val="5EEA5A6D"/>
    <w:rsid w:val="60F41D8A"/>
    <w:rsid w:val="613876CD"/>
    <w:rsid w:val="688B0897"/>
    <w:rsid w:val="6AEC2AE3"/>
    <w:rsid w:val="790614F4"/>
    <w:rsid w:val="7B8678E2"/>
    <w:rsid w:val="7D0C4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ascii="宋体" w:hAnsi="宋体" w:eastAsia="宋体" w:cs="宋体"/>
      <w:kern w:val="0"/>
      <w:sz w:val="24"/>
      <w:szCs w:val="24"/>
      <w:lang w:val="zh-CN" w:bidi="zh-CN"/>
    </w:rPr>
  </w:style>
  <w:style w:type="paragraph" w:styleId="3">
    <w:name w:val="Normal (Web)"/>
    <w:unhideWhenUsed/>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Text"/>
    <w:basedOn w:val="1"/>
    <w:autoRedefine/>
    <w:semiHidden/>
    <w:qFormat/>
    <w:uiPriority w:val="0"/>
    <w:rPr>
      <w:rFonts w:ascii="仿宋" w:hAnsi="仿宋" w:eastAsia="仿宋" w:cs="仿宋"/>
      <w:sz w:val="24"/>
      <w:szCs w:val="24"/>
      <w:lang w:val="en-US" w:eastAsia="en-US" w:bidi="ar-SA"/>
    </w:rPr>
  </w:style>
  <w:style w:type="table" w:customStyle="1" w:styleId="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5208</Words>
  <Characters>6313</Characters>
  <Lines>0</Lines>
  <Paragraphs>0</Paragraphs>
  <TotalTime>3</TotalTime>
  <ScaleCrop>false</ScaleCrop>
  <LinksUpToDate>false</LinksUpToDate>
  <CharactersWithSpaces>6634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2023-05-06T01:36:00Z</dcterms:created>
  <dc:creator>Admin</dc:creator>
  <cp:lastModifiedBy>清风闲情</cp:lastModifiedBy>
  <dcterms:modified xsi:type="dcterms:W3CDTF">2024-05-28T06:56:50Z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A3D22DEA63F3421DAB8E6119AC17FC25_13</vt:lpwstr>
  </property>
</Properties>
</file>