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adjustRightInd w:val="0"/>
        <w:snapToGrid w:val="0"/>
        <w:spacing w:before="0" w:beforeAutospacing="0" w:after="0" w:afterAutospacing="0" w:line="400" w:lineRule="auto"/>
        <w:jc w:val="distribute"/>
        <w:rPr>
          <w:rFonts w:ascii="黑体" w:eastAsia="黑体"/>
          <w:sz w:val="36"/>
          <w:szCs w:val="36"/>
        </w:rPr>
      </w:pPr>
      <w:r>
        <w:rPr>
          <w:rFonts w:hint="eastAsia" w:ascii="黑体" w:eastAsia="黑体"/>
          <w:bCs/>
          <w:sz w:val="36"/>
          <w:szCs w:val="36"/>
        </w:rPr>
        <w:t>深度冷冻法生产氧气及相关气体安全技术规程</w:t>
      </w:r>
    </w:p>
    <w:p>
      <w:pPr>
        <w:pStyle w:val="4"/>
        <w:adjustRightInd w:val="0"/>
        <w:snapToGrid w:val="0"/>
        <w:spacing w:before="0" w:beforeAutospacing="0" w:after="0" w:afterAutospacing="0"/>
        <w:jc w:val="center"/>
        <w:rPr>
          <w:rFonts w:hint="eastAsia"/>
          <w:sz w:val="21"/>
          <w:szCs w:val="21"/>
        </w:rPr>
      </w:pPr>
      <w:r>
        <w:rPr>
          <w:rFonts w:hint="eastAsia"/>
          <w:sz w:val="21"/>
          <w:szCs w:val="21"/>
        </w:rPr>
        <w:t>Safety technical regulation for oxygen and relative gases produced with cryogenic method</w:t>
      </w:r>
    </w:p>
    <w:p>
      <w:pPr>
        <w:adjustRightInd w:val="0"/>
        <w:snapToGrid w:val="0"/>
        <w:spacing w:line="360" w:lineRule="auto"/>
        <w:jc w:val="center"/>
        <w:rPr>
          <w:rFonts w:hint="eastAsia" w:ascii="宋体" w:hAnsi="宋体"/>
          <w:sz w:val="24"/>
        </w:rPr>
      </w:pPr>
      <w:r>
        <w:rPr>
          <w:rFonts w:hint="eastAsia" w:ascii="宋体" w:hAnsi="宋体"/>
          <w:sz w:val="24"/>
        </w:rPr>
        <w:t>GB 16912-2008          代替 GB 16912-1997</w:t>
      </w:r>
    </w:p>
    <w:p>
      <w:pPr>
        <w:pStyle w:val="4"/>
        <w:adjustRightInd w:val="0"/>
        <w:snapToGrid w:val="0"/>
        <w:spacing w:before="0" w:beforeAutospacing="0" w:after="0" w:afterAutospacing="0"/>
        <w:jc w:val="center"/>
        <w:rPr>
          <w:rFonts w:hint="eastAsia"/>
        </w:rPr>
      </w:pPr>
      <w:r>
        <w:rPr>
          <w:rFonts w:hint="eastAsia"/>
        </w:rPr>
        <w:t>2008-12-1发布             2009-10-01实施</w:t>
      </w:r>
    </w:p>
    <w:p>
      <w:pPr>
        <w:pStyle w:val="4"/>
        <w:adjustRightInd w:val="0"/>
        <w:snapToGrid w:val="0"/>
        <w:spacing w:before="0" w:beforeAutospacing="0" w:after="0" w:afterAutospacing="0"/>
        <w:jc w:val="center"/>
        <w:rPr>
          <w:rFonts w:hint="eastAsia"/>
        </w:rPr>
      </w:pPr>
      <w:r>
        <w:rPr>
          <w:rFonts w:hint="eastAsia"/>
        </w:rPr>
        <w:t>中华人民共和国国家质量监督检验检疫总局、中国国家标准化管理委员会   发布</w:t>
      </w:r>
    </w:p>
    <w:p>
      <w:pPr>
        <w:pStyle w:val="4"/>
        <w:adjustRightInd w:val="0"/>
        <w:snapToGrid w:val="0"/>
        <w:spacing w:before="0" w:beforeAutospacing="0" w:after="0" w:afterAutospacing="0"/>
        <w:jc w:val="center"/>
        <w:rPr>
          <w:rFonts w:hint="eastAsia"/>
        </w:rPr>
      </w:pPr>
      <w:r>
        <w:rPr>
          <w:rFonts w:hint="eastAsia"/>
        </w:rPr>
        <w:t>前  言</w:t>
      </w:r>
    </w:p>
    <w:p>
      <w:pPr>
        <w:rPr>
          <w:rFonts w:hint="eastAsia"/>
          <w:color w:val="000000"/>
          <w:sz w:val="24"/>
        </w:rPr>
      </w:pPr>
      <w:r>
        <w:rPr>
          <w:rFonts w:hint="eastAsia"/>
        </w:rPr>
        <w:t>本标准4.2.23.3a5.1a)、8.6.2a</w:t>
      </w:r>
    </w:p>
    <w:p>
      <w:pPr>
        <w:spacing w:line="160" w:lineRule="exact"/>
        <w:rPr>
          <w:rFonts w:hint="eastAsia"/>
          <w:b/>
          <w:color w:val="FFFFFF"/>
        </w:rPr>
      </w:pPr>
      <w:r>
        <w:fldChar w:fldCharType="begin"/>
      </w:r>
      <w:r>
        <w:instrText xml:space="preserve"> HYPERLINK </w:instrText>
      </w:r>
      <w:r>
        <w:fldChar w:fldCharType="separate"/>
      </w:r>
      <w:r>
        <w:fldChar w:fldCharType="end"/>
      </w:r>
      <w:r>
        <w:fldChar w:fldCharType="begin"/>
      </w:r>
      <w:r>
        <w:instrText xml:space="preserve"> HYPERLINK </w:instrText>
      </w:r>
      <w:r>
        <w:fldChar w:fldCharType="separate"/>
      </w:r>
      <w:r>
        <w:fldChar w:fldCharType="end"/>
      </w:r>
    </w:p>
    <w:p>
      <w:pPr>
        <w:pStyle w:val="4"/>
        <w:adjustRightInd w:val="0"/>
        <w:snapToGrid w:val="0"/>
        <w:spacing w:before="0" w:beforeAutospacing="0" w:after="0" w:afterAutospacing="0"/>
        <w:ind w:firstLine="480" w:firstLineChars="200"/>
        <w:jc w:val="both"/>
        <w:rPr>
          <w:rFonts w:hint="eastAsia"/>
        </w:rPr>
      </w:pPr>
      <w:r>
        <w:rPr>
          <w:rFonts w:hint="eastAsia"/>
        </w:rPr>
        <w:t>9.3.2</w:t>
      </w:r>
    </w:p>
    <w:p>
      <w:pPr>
        <w:pStyle w:val="4"/>
        <w:adjustRightInd w:val="0"/>
        <w:snapToGrid w:val="0"/>
        <w:spacing w:before="0" w:beforeAutospacing="0" w:after="0" w:afterAutospacing="0"/>
        <w:ind w:firstLine="480" w:firstLineChars="200"/>
        <w:jc w:val="both"/>
        <w:rPr>
          <w:rFonts w:hint="eastAsia"/>
        </w:rPr>
      </w:pPr>
      <w:r>
        <w:rPr>
          <w:rFonts w:hint="eastAsia"/>
        </w:rPr>
        <w:t>本标准从实施之日起，代替GB16912-1997《氧气及相</w:t>
      </w:r>
      <w:bookmarkStart w:id="0" w:name="_GoBack"/>
      <w:bookmarkEnd w:id="0"/>
      <w:r>
        <w:rPr>
          <w:rFonts w:hint="eastAsia"/>
        </w:rPr>
        <w:t>关气体安全技术规程》。</w:t>
      </w:r>
    </w:p>
    <w:p>
      <w:pPr>
        <w:pStyle w:val="4"/>
        <w:adjustRightInd w:val="0"/>
        <w:snapToGrid w:val="0"/>
        <w:spacing w:before="0" w:beforeAutospacing="0" w:after="0" w:afterAutospacing="0"/>
        <w:ind w:firstLine="480" w:firstLineChars="200"/>
        <w:jc w:val="both"/>
        <w:rPr>
          <w:rFonts w:hint="eastAsia"/>
        </w:rPr>
      </w:pPr>
      <w:r>
        <w:rPr>
          <w:rFonts w:hint="eastAsia"/>
        </w:rPr>
        <w:t>本标准与GB16912-1997《氧气及相关气体安全技术规程》的主要区别如下：</w:t>
      </w:r>
    </w:p>
    <w:p>
      <w:pPr>
        <w:pStyle w:val="4"/>
        <w:adjustRightInd w:val="0"/>
        <w:snapToGrid w:val="0"/>
        <w:spacing w:before="0" w:beforeAutospacing="0" w:after="0" w:afterAutospacing="0"/>
        <w:ind w:firstLine="480" w:firstLineChars="200"/>
        <w:jc w:val="both"/>
        <w:rPr>
          <w:rFonts w:hint="eastAsia"/>
        </w:rPr>
      </w:pPr>
      <w:r>
        <w:rPr>
          <w:rFonts w:hint="eastAsia"/>
        </w:rPr>
        <w:t>——本标准的名称改为《深度冷却法生产氧气及相关气体安全技术规程》。</w:t>
      </w:r>
    </w:p>
    <w:p>
      <w:pPr>
        <w:pStyle w:val="4"/>
        <w:adjustRightInd w:val="0"/>
        <w:snapToGrid w:val="0"/>
        <w:spacing w:before="0" w:beforeAutospacing="0" w:after="0" w:afterAutospacing="0"/>
        <w:ind w:firstLine="480" w:firstLineChars="200"/>
        <w:jc w:val="both"/>
        <w:rPr>
          <w:rFonts w:hint="eastAsia"/>
        </w:rPr>
      </w:pPr>
      <w:r>
        <w:rPr>
          <w:rFonts w:hint="eastAsia"/>
        </w:rPr>
        <w:t>——第1章主要增加了“本规程适用于新建、扩建和改建的采用深度冷冻法生产氧气及相关气体的单位”。</w:t>
      </w:r>
    </w:p>
    <w:p>
      <w:pPr>
        <w:pStyle w:val="4"/>
        <w:adjustRightInd w:val="0"/>
        <w:snapToGrid w:val="0"/>
        <w:spacing w:before="0" w:beforeAutospacing="0" w:after="0" w:afterAutospacing="0"/>
        <w:ind w:firstLine="480" w:firstLineChars="200"/>
        <w:jc w:val="both"/>
        <w:rPr>
          <w:rFonts w:hint="eastAsia"/>
        </w:rPr>
      </w:pPr>
      <w:r>
        <w:rPr>
          <w:rFonts w:hint="eastAsia"/>
        </w:rPr>
        <w:t>——第2章引用了最新的国家标准和行业标准，并增加了相关标准。</w:t>
      </w:r>
    </w:p>
    <w:p>
      <w:pPr>
        <w:pStyle w:val="4"/>
        <w:adjustRightInd w:val="0"/>
        <w:snapToGrid w:val="0"/>
        <w:spacing w:before="0" w:beforeAutospacing="0" w:after="0" w:afterAutospacing="0"/>
        <w:ind w:firstLine="480" w:firstLineChars="200"/>
        <w:jc w:val="both"/>
        <w:rPr>
          <w:rFonts w:hint="eastAsia"/>
        </w:rPr>
      </w:pPr>
      <w:r>
        <w:rPr>
          <w:rFonts w:hint="eastAsia"/>
        </w:rPr>
        <w:t>——第3章增加了3.22、3.23、3.24、3.25、3.26、3.27.</w:t>
      </w:r>
    </w:p>
    <w:p>
      <w:pPr>
        <w:rPr>
          <w:rFonts w:hint="eastAsia"/>
          <w:color w:val="FFFFFF"/>
          <w:sz w:val="24"/>
        </w:rPr>
      </w:pPr>
      <w:r>
        <w:rPr>
          <w:rFonts w:hint="eastAsia"/>
        </w:rPr>
        <w:t>——第4章增加了4.9.5</w:t>
      </w:r>
    </w:p>
    <w:p>
      <w:pPr>
        <w:spacing w:line="160" w:lineRule="exact"/>
        <w:rPr>
          <w:rFonts w:hint="eastAsia"/>
          <w:b/>
          <w:color w:val="000000"/>
        </w:rPr>
      </w:pPr>
      <w:r>
        <w:fldChar w:fldCharType="begin"/>
      </w:r>
      <w:r>
        <w:instrText xml:space="preserve"> HYPERLINK </w:instrText>
      </w:r>
      <w:r>
        <w:fldChar w:fldCharType="separate"/>
      </w:r>
      <w:r>
        <w:fldChar w:fldCharType="end"/>
      </w:r>
      <w:r>
        <w:fldChar w:fldCharType="begin"/>
      </w:r>
      <w:r>
        <w:instrText xml:space="preserve"> HYPERLINK </w:instrText>
      </w:r>
      <w:r>
        <w:fldChar w:fldCharType="separate"/>
      </w:r>
      <w:r>
        <w:fldChar w:fldCharType="end"/>
      </w:r>
    </w:p>
    <w:p>
      <w:pPr>
        <w:pStyle w:val="4"/>
        <w:adjustRightInd w:val="0"/>
        <w:snapToGrid w:val="0"/>
        <w:spacing w:before="0" w:beforeAutospacing="0" w:after="0" w:afterAutospacing="0"/>
        <w:ind w:firstLine="480" w:firstLineChars="200"/>
        <w:jc w:val="both"/>
        <w:rPr>
          <w:rFonts w:hint="eastAsia"/>
        </w:rPr>
      </w:pPr>
      <w:r>
        <w:rPr>
          <w:rFonts w:hint="eastAsia"/>
        </w:rPr>
        <w:t>——第5章增加了5.10；主要修订了5.1、5.11、5.19.</w:t>
      </w:r>
    </w:p>
    <w:p>
      <w:pPr>
        <w:pStyle w:val="4"/>
        <w:adjustRightInd w:val="0"/>
        <w:snapToGrid w:val="0"/>
        <w:spacing w:before="0" w:beforeAutospacing="0" w:after="0" w:afterAutospacing="0"/>
        <w:ind w:firstLine="480" w:firstLineChars="200"/>
        <w:jc w:val="both"/>
        <w:rPr>
          <w:rFonts w:hint="eastAsia"/>
        </w:rPr>
      </w:pPr>
      <w:r>
        <w:rPr>
          <w:rFonts w:hint="eastAsia"/>
        </w:rPr>
        <w:t>——第6章增加了6.2.4</w:t>
      </w:r>
    </w:p>
    <w:p>
      <w:pPr>
        <w:pStyle w:val="4"/>
        <w:adjustRightInd w:val="0"/>
        <w:snapToGrid w:val="0"/>
        <w:spacing w:before="0" w:beforeAutospacing="0" w:after="0" w:afterAutospacing="0"/>
        <w:ind w:firstLine="480" w:firstLineChars="200"/>
        <w:jc w:val="both"/>
        <w:rPr>
          <w:rFonts w:hint="eastAsia"/>
        </w:rPr>
      </w:pPr>
      <w:r>
        <w:rPr>
          <w:rFonts w:hint="eastAsia"/>
        </w:rPr>
        <w:t>——第7章增加了</w:t>
      </w:r>
    </w:p>
    <w:p>
      <w:pPr>
        <w:pStyle w:val="4"/>
        <w:adjustRightInd w:val="0"/>
        <w:snapToGrid w:val="0"/>
        <w:spacing w:before="0" w:beforeAutospacing="0" w:after="0" w:afterAutospacing="0"/>
        <w:ind w:firstLine="480" w:firstLineChars="200"/>
        <w:jc w:val="both"/>
        <w:rPr>
          <w:rFonts w:hint="eastAsia"/>
        </w:rPr>
      </w:pPr>
      <w:r>
        <w:rPr>
          <w:rFonts w:hint="eastAsia"/>
        </w:rPr>
        <w:t>——第8章主要修订了8.1.2</w:t>
      </w:r>
    </w:p>
    <w:p>
      <w:pPr>
        <w:pStyle w:val="4"/>
        <w:adjustRightInd w:val="0"/>
        <w:snapToGrid w:val="0"/>
        <w:spacing w:before="0" w:beforeAutospacing="0" w:after="0" w:afterAutospacing="0"/>
        <w:ind w:firstLine="480" w:firstLineChars="200"/>
        <w:jc w:val="both"/>
        <w:rPr>
          <w:rFonts w:hint="eastAsia"/>
        </w:rPr>
      </w:pPr>
      <w:r>
        <w:rPr>
          <w:rFonts w:hint="eastAsia"/>
        </w:rPr>
        <w:t>——第9章增加了9.1.5</w:t>
      </w:r>
    </w:p>
    <w:p>
      <w:pPr>
        <w:pStyle w:val="4"/>
        <w:adjustRightInd w:val="0"/>
        <w:snapToGrid w:val="0"/>
        <w:spacing w:before="0" w:beforeAutospacing="0" w:after="0" w:afterAutospacing="0"/>
        <w:ind w:firstLine="480" w:firstLineChars="200"/>
        <w:jc w:val="both"/>
        <w:rPr>
          <w:rFonts w:hint="eastAsia"/>
        </w:rPr>
      </w:pPr>
      <w:r>
        <w:rPr>
          <w:rFonts w:hint="eastAsia"/>
        </w:rPr>
        <w:t>——第10章增加了10.2.32.3a</w:t>
      </w:r>
    </w:p>
    <w:p>
      <w:pPr>
        <w:pStyle w:val="4"/>
        <w:adjustRightInd w:val="0"/>
        <w:snapToGrid w:val="0"/>
        <w:spacing w:before="0" w:beforeAutospacing="0" w:after="0" w:afterAutospacing="0"/>
        <w:ind w:firstLine="480" w:firstLineChars="200"/>
        <w:jc w:val="both"/>
        <w:rPr>
          <w:rFonts w:hint="eastAsia"/>
        </w:rPr>
      </w:pPr>
      <w:r>
        <w:rPr>
          <w:rFonts w:hint="eastAsia"/>
        </w:rPr>
        <w:t>——第11章增加了11.3.6</w:t>
      </w:r>
    </w:p>
    <w:p>
      <w:pPr>
        <w:pStyle w:val="4"/>
        <w:adjustRightInd w:val="0"/>
        <w:snapToGrid w:val="0"/>
        <w:spacing w:before="0" w:beforeAutospacing="0" w:after="0" w:afterAutospacing="0"/>
        <w:ind w:firstLine="480" w:firstLineChars="200"/>
        <w:jc w:val="both"/>
        <w:rPr>
          <w:rFonts w:hint="eastAsia"/>
        </w:rPr>
      </w:pPr>
      <w:r>
        <w:rPr>
          <w:rFonts w:hint="eastAsia"/>
        </w:rPr>
        <w:t>本标准由国家安全生产监督管理总局提出。</w:t>
      </w:r>
    </w:p>
    <w:p>
      <w:pPr>
        <w:pStyle w:val="4"/>
        <w:adjustRightInd w:val="0"/>
        <w:snapToGrid w:val="0"/>
        <w:spacing w:before="0" w:beforeAutospacing="0" w:after="0" w:afterAutospacing="0"/>
        <w:ind w:firstLine="480" w:firstLineChars="200"/>
        <w:jc w:val="both"/>
        <w:rPr>
          <w:rFonts w:hint="eastAsia"/>
        </w:rPr>
      </w:pPr>
      <w:r>
        <w:rPr>
          <w:rFonts w:hint="eastAsia"/>
        </w:rPr>
        <w:t>本标准由全国安全生产标准化技术委员会化学品安全分技术委员会（SAC/TC 288/SC3）归口。</w:t>
      </w:r>
    </w:p>
    <w:p>
      <w:pPr>
        <w:pStyle w:val="4"/>
        <w:adjustRightInd w:val="0"/>
        <w:snapToGrid w:val="0"/>
        <w:spacing w:before="0" w:beforeAutospacing="0" w:after="0" w:afterAutospacing="0"/>
        <w:ind w:firstLine="480" w:firstLineChars="200"/>
        <w:jc w:val="both"/>
        <w:rPr>
          <w:rFonts w:hint="eastAsia"/>
        </w:rPr>
      </w:pPr>
      <w:r>
        <w:rPr>
          <w:rFonts w:hint="eastAsia"/>
        </w:rPr>
        <w:t>本标准负责起草单位：中钢集团武汉安全环保研究院。</w:t>
      </w:r>
    </w:p>
    <w:p>
      <w:pPr>
        <w:pStyle w:val="4"/>
        <w:adjustRightInd w:val="0"/>
        <w:snapToGrid w:val="0"/>
        <w:spacing w:before="0" w:beforeAutospacing="0" w:after="0" w:afterAutospacing="0"/>
        <w:ind w:firstLine="480" w:firstLineChars="200"/>
        <w:jc w:val="both"/>
        <w:rPr>
          <w:rFonts w:hint="eastAsia"/>
        </w:rPr>
      </w:pPr>
      <w:r>
        <w:rPr>
          <w:rFonts w:hint="eastAsia"/>
        </w:rPr>
        <w:t>本标准参加起草单位：武汉钢铁集团氧气有限责任公司、中冶南方工程技术有限公司、中冶赛迪工程技术股份有限公司、中冶华天工程技术有限公司、新余钢铁股份有限公司、攀枝花新钢钒股份有限公司能源动力中心、华陆工程科技有限责任公司、宝钢股份宝钢分公司、长沙贝尔环保节能设备有限公司、江阴市瀚宇机械有限公司冷却器研究发展中心、启东市海鹰冶金机械厂、浙江迎日阀门制造有限公司。</w:t>
      </w:r>
    </w:p>
    <w:p>
      <w:pPr>
        <w:pStyle w:val="4"/>
        <w:adjustRightInd w:val="0"/>
        <w:snapToGrid w:val="0"/>
        <w:spacing w:before="0" w:beforeAutospacing="0" w:after="0" w:afterAutospacing="0"/>
        <w:ind w:firstLine="480" w:firstLineChars="200"/>
        <w:jc w:val="both"/>
        <w:rPr>
          <w:rFonts w:hint="eastAsia"/>
        </w:rPr>
      </w:pPr>
      <w:r>
        <w:rPr>
          <w:rFonts w:hint="eastAsia"/>
        </w:rPr>
        <w:t>本标准主要起草人：曾慕成、马大方、刘凌燕、蔡令放、王苏林、除华祥、万建余、吴用明、程玉芝、周浩、彭跃、马跃、刘向林、田国庆。</w:t>
      </w:r>
    </w:p>
    <w:p>
      <w:pPr>
        <w:pStyle w:val="4"/>
        <w:adjustRightInd w:val="0"/>
        <w:snapToGrid w:val="0"/>
        <w:spacing w:before="0" w:beforeAutospacing="0" w:after="0" w:afterAutospacing="0"/>
        <w:ind w:firstLine="480" w:firstLineChars="200"/>
        <w:jc w:val="both"/>
        <w:rPr>
          <w:rFonts w:hint="eastAsia"/>
        </w:rPr>
      </w:pPr>
      <w:r>
        <w:rPr>
          <w:rFonts w:hint="eastAsia"/>
        </w:rPr>
        <w:t>本标准所代替标准的历次版本发布情况为：1997年7月首次发布GB 16912-1997《氧气及相关气体安全技术规程》，本次修订为首次修订。</w:t>
      </w:r>
    </w:p>
    <w:p>
      <w:pPr>
        <w:pStyle w:val="4"/>
        <w:adjustRightInd w:val="0"/>
        <w:snapToGrid w:val="0"/>
        <w:spacing w:before="0" w:beforeAutospacing="0" w:after="0" w:afterAutospacing="0"/>
        <w:jc w:val="center"/>
        <w:rPr>
          <w:rFonts w:ascii="黑体" w:eastAsia="黑体"/>
          <w:sz w:val="28"/>
          <w:szCs w:val="28"/>
        </w:rPr>
      </w:pPr>
      <w:r>
        <w:rPr>
          <w:rFonts w:hint="eastAsia" w:ascii="黑体" w:eastAsia="黑体"/>
          <w:bCs/>
          <w:sz w:val="28"/>
          <w:szCs w:val="28"/>
        </w:rPr>
        <w:t>深度冷冻法生产氧气及相关气体安全技术规程</w:t>
      </w:r>
    </w:p>
    <w:p>
      <w:pPr>
        <w:pStyle w:val="2"/>
        <w:adjustRightInd w:val="0"/>
        <w:snapToGrid w:val="0"/>
        <w:spacing w:before="0" w:after="0" w:line="360" w:lineRule="auto"/>
        <w:ind w:firstLine="480" w:firstLineChars="200"/>
        <w:rPr>
          <w:rFonts w:hint="eastAsia" w:ascii="宋体" w:hAnsi="宋体"/>
          <w:b w:val="0"/>
          <w:kern w:val="0"/>
          <w:sz w:val="24"/>
          <w:szCs w:val="24"/>
        </w:rPr>
      </w:pPr>
      <w:r>
        <w:rPr>
          <w:rFonts w:hint="eastAsia" w:ascii="宋体" w:hAnsi="宋体"/>
          <w:b w:val="0"/>
          <w:kern w:val="0"/>
          <w:sz w:val="24"/>
          <w:szCs w:val="24"/>
        </w:rPr>
        <w:t>1 范围</w:t>
      </w:r>
    </w:p>
    <w:p>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本规程规定了工业氧气及相关气体的生产（含设计、制造、安装、改造、维修）、储存、输配和使用中应遵守的安全要求。</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本规程主要适用于新建、扩建和改建的采用深度冷冻法生产氧气及相关气体的单位。</w:t>
      </w:r>
    </w:p>
    <w:p>
      <w:pPr>
        <w:pStyle w:val="2"/>
        <w:adjustRightInd w:val="0"/>
        <w:snapToGrid w:val="0"/>
        <w:spacing w:before="0" w:after="0" w:line="360" w:lineRule="auto"/>
        <w:ind w:firstLine="480" w:firstLineChars="200"/>
        <w:rPr>
          <w:rFonts w:hint="eastAsia" w:ascii="宋体" w:hAnsi="宋体"/>
          <w:b w:val="0"/>
          <w:kern w:val="0"/>
          <w:sz w:val="24"/>
          <w:szCs w:val="24"/>
        </w:rPr>
      </w:pPr>
      <w:r>
        <w:rPr>
          <w:rFonts w:hint="eastAsia" w:ascii="宋体" w:hAnsi="宋体"/>
          <w:b w:val="0"/>
          <w:kern w:val="0"/>
          <w:sz w:val="24"/>
          <w:szCs w:val="24"/>
        </w:rPr>
        <w:t>2 规范性引用文件</w:t>
      </w:r>
    </w:p>
    <w:p>
      <w:pPr>
        <w:adjustRightInd w:val="0"/>
        <w:snapToGrid w:val="0"/>
        <w:spacing w:line="360" w:lineRule="auto"/>
        <w:ind w:firstLine="480" w:firstLineChars="200"/>
        <w:rPr>
          <w:rFonts w:hint="eastAsia" w:ascii="宋体" w:hAnsi="宋体"/>
          <w:sz w:val="24"/>
        </w:rPr>
      </w:pPr>
      <w:r>
        <w:rPr>
          <w:rFonts w:ascii="宋体" w:hAnsi="宋体"/>
          <w:sz w:val="24"/>
        </w:rPr>
        <w:t>下列</w:t>
      </w:r>
      <w:r>
        <w:rPr>
          <w:rFonts w:hint="eastAsia" w:ascii="宋体" w:hAnsi="宋体"/>
          <w:sz w:val="24"/>
        </w:rPr>
        <w:t>文件中</w:t>
      </w:r>
      <w:r>
        <w:rPr>
          <w:rFonts w:ascii="宋体" w:hAnsi="宋体"/>
          <w:sz w:val="24"/>
        </w:rPr>
        <w:t>的</w:t>
      </w:r>
      <w:r>
        <w:rPr>
          <w:rFonts w:hint="eastAsia" w:ascii="宋体" w:hAnsi="宋体"/>
          <w:sz w:val="24"/>
        </w:rPr>
        <w:t>条款</w:t>
      </w:r>
      <w:r>
        <w:rPr>
          <w:rFonts w:ascii="宋体" w:hAnsi="宋体"/>
          <w:sz w:val="24"/>
        </w:rPr>
        <w:t>通过在本标准</w:t>
      </w:r>
      <w:r>
        <w:rPr>
          <w:rFonts w:hint="eastAsia" w:ascii="宋体" w:hAnsi="宋体"/>
          <w:sz w:val="24"/>
        </w:rPr>
        <w:t>的</w:t>
      </w:r>
      <w:r>
        <w:rPr>
          <w:rFonts w:ascii="宋体" w:hAnsi="宋体"/>
          <w:sz w:val="24"/>
        </w:rPr>
        <w:t>引用而成为本标准的条</w:t>
      </w:r>
      <w:r>
        <w:rPr>
          <w:rFonts w:hint="eastAsia" w:ascii="宋体" w:hAnsi="宋体"/>
          <w:sz w:val="24"/>
        </w:rPr>
        <w:t>款</w:t>
      </w:r>
      <w:r>
        <w:rPr>
          <w:rFonts w:ascii="宋体" w:hAnsi="宋体"/>
          <w:sz w:val="24"/>
        </w:rPr>
        <w:t>。</w:t>
      </w:r>
      <w:r>
        <w:rPr>
          <w:rFonts w:hint="eastAsia" w:ascii="宋体" w:hAnsi="宋体"/>
          <w:sz w:val="24"/>
        </w:rPr>
        <w:t>凡是注日期的引用文件，其随后所有的修改单（不包括勘误的内容）或修订版均不适用于本标准，然而，鼓励根据本标准达成协议的各方研究是否可使用这些文件的最新版本。凡是不注日期的引用文件，其</w:t>
      </w:r>
      <w:r>
        <w:rPr>
          <w:rFonts w:ascii="宋体" w:hAnsi="宋体"/>
          <w:sz w:val="24"/>
        </w:rPr>
        <w:t>最新版本</w:t>
      </w:r>
      <w:r>
        <w:rPr>
          <w:rFonts w:hint="eastAsia" w:ascii="宋体" w:hAnsi="宋体"/>
          <w:sz w:val="24"/>
        </w:rPr>
        <w:t>适用于本标准</w:t>
      </w:r>
      <w:r>
        <w:rPr>
          <w:rFonts w:ascii="宋体" w:hAnsi="宋体"/>
          <w:sz w:val="24"/>
        </w:rPr>
        <w:t>。</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GB/T 1527 铜及铜合金拉制管</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GB/T 3091 低压流体输送用焊接钢管</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GB/T 3323 金属融化焊焊接接头射线照像</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GB 3096 城市区域环境噪声标准</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GB 4053.1 固定式钢直梯安全技术条件</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GB 4053.2 固定式钢斜梯安全技术条件</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GB 4053.3 固定式工业防护栏杆安全技术条件</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GB 4053.4 固定式工业钢平台</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GB 4962 氢气使用安全技术规程</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GB 7144 气瓶颜色标记</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GB 7231 工业管路的基本识别色、识别符号和安全标识</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GB/T 8163 输送流体用无缝钢管</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GB 8958 缺氧危险作业安全规程</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GB/T 9251 气瓶水压试验方法</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GB 10877 氧气瓶阀</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GB 12135 气瓶定期检验站技术条件</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GB/T 12137 气瓶气密性试验方法</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GB 12348 工业企业厂界噪声标准</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GB/T 12771 流体输送用不锈钢焊接钢管</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GB 13004 钢质无缝气瓶定期检验与评定</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GB 14194 永久气体气瓶充装规定</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GB/T 14196 流体输送用不锈钢无缝钢管</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GB 50011 建筑抗震设计规范</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GB 50016 建筑设计防火规范</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GB 50019 采暖通风与空气调节设计规范</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GB 50030 氧气站设计规范</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GB 50034 建筑照明设计标准</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GB 50052 供配电系统设计规范</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GB 50057 建筑物防雷设计规范</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GB 50058 爆炸和火灾危险环境电力装置设计规范</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GB 50140 建筑灭火器配置设计规范</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GB 50177 氢气站设计规范</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GB 50191 构筑物抗震设计规范</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GB 50235 工业金属管道工程施工及验收规范</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GB 50236 现场设备、工业管道焊接工程施工及验收规范</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DL/T 5220 10KV及以下架空配电线路设计技术规程</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HG 20202 脱脂工程施工及验收规范</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JB 6898 低温液体储运设备使用安全规则</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SY/T 5037 低压流体输送管道用螺旋缝埋弧焊钢管</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YS/T 662 铜及铜合金挤制管</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《气瓶安全监察规程》</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《压力容器安全技术监察规程》</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《液化气体汽车罐车安全监察规程》</w:t>
      </w:r>
    </w:p>
    <w:p>
      <w:pPr>
        <w:pStyle w:val="2"/>
        <w:adjustRightInd w:val="0"/>
        <w:snapToGrid w:val="0"/>
        <w:spacing w:before="0" w:after="0" w:line="360" w:lineRule="auto"/>
        <w:ind w:firstLine="480" w:firstLineChars="200"/>
        <w:rPr>
          <w:rFonts w:hint="eastAsia" w:ascii="宋体" w:hAnsi="宋体"/>
          <w:b w:val="0"/>
          <w:kern w:val="0"/>
          <w:sz w:val="24"/>
          <w:szCs w:val="24"/>
        </w:rPr>
      </w:pPr>
      <w:r>
        <w:rPr>
          <w:rFonts w:hint="eastAsia" w:ascii="宋体" w:hAnsi="宋体"/>
          <w:b w:val="0"/>
          <w:kern w:val="0"/>
          <w:sz w:val="24"/>
          <w:szCs w:val="24"/>
        </w:rPr>
        <w:t>3 术语和定义</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下列术语和定义适用于本标准。</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3.1 氧气厂 air seperation plant</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在一定区域范围内,根据不同情况至少组合有制氧站房、灌氧站房或压氧站房、室外工艺设备以及其他有关建筑物和构筑物的统称。</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3.2 制氧站房 air seperation station</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以布置制取氧气及其他空分产品工艺设备为主的,包括有关主要及辅助生产间的建筑物。</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3.3 灌氧站房 oxygen filling station</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以布置压缩、充灌并储存输送氧气及其他空分产品工艺设备为主的,包括有关主要及辅助生产间的建筑物。</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3.4 氮气压缩站 nitrogen compressor station</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以布置压缩、输送氮气的工艺设备为主的,包括有关主要及辅助生产间的建筑物。</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3.5 气化站房 gasification station</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以布置储存、输送氧、氮、氩等气体给用户的低温液体系统设施为主的,包括有关主要及辅助生产间的建筑物。</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3.6 稀有气体间 rare gas room</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以布置稀有气体净化、提纯工艺设备为主的,包括有关主要及辅助生产间的建筑物。</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3.7 氢气站 hydrogen station</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氧气厂(站、车间)内为氩气生产所需氢气而配套的,以布置水电解制氢设备为主的,包括有关主要及辅助生产间的建筑物。</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3.8 汇流排间 manifold room</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以布置输送氧、氮、氩等气体给用户的汇流排或气体集装瓶或集装车为主的,其中也可存放适当数量气瓶的建筑物。</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3.9 主要生产间 principa1 production shop</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制氧间、制氮间、储气囊间、储罐间(区)、低温液体储槽间(区)、净化间、压缩机间、灌氧站房、汇流排间、气化器间、阀门操作间、空分装置、主控室、稀有气体间、氢气站、氮压站等。</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3.10 辅助生产间 auxiliary production shop</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维修间、加工间、化验间、变配电间、气瓶检验间、水泵房、水处理设施、仓库、车库等。</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3.11 空分装置 air separation unit</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集精馏塔、换热器、吸附器、循环液体泵等设备于一冷箱中,包括各类阀门、仪表等的总称。</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3.12 自清除 self-cleaning</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空气中的二氧化碳和水分被冻结在切换式换热器(蓄冷器)通道表面,下一周期里由返流气体把被冻结的二氧化碳和水分反吹带出设备的过程。它包括冻结和清除两个阶段。</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3.13 空分净化装置 air purifying equipment</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去除空气中机械杂质、水分、二氧化碳和乙炔、机械油等碳氢化合物的各类过滤器、吸附器、洗涤塔、可逆式换热器等装置。</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3.14 氧气调节阀组 valve group for oxygen pressure regulating</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根据工艺需要,调节氧气压力或流量,包括气动或电动调节阀,及其前、后、旁通截止阀和仪控系统的阀门组合。</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3.15 氧(氮、氩等)气充装台 oxygen (nitrogen、argon etc)filling bench</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充装氧(氮、氩等)气体,包括充装接头(卡具)、卡具吊装器、气水分离器、充装管道、阀门、气瓶防倒链、压力表、安全阀等整套设施。</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3.16 氧气压缩机氮气灭火系统 nitrogen fire extinguishing system for oxygen compressor</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为透平氧压机配套的,包括可熔探针或温度探头、各级吸排气温度监测、减压阀、压</w:t>
      </w:r>
    </w:p>
    <w:p>
      <w:pPr>
        <w:widowControl/>
        <w:adjustRightInd w:val="0"/>
        <w:snapToGrid w:val="0"/>
        <w:spacing w:line="360" w:lineRule="auto"/>
        <w:jc w:val="left"/>
        <w:rPr>
          <w:rFonts w:hint="eastAsia" w:ascii="宋体" w:hAnsi="宋体" w:cs="宋体"/>
          <w:kern w:val="0"/>
          <w:sz w:val="24"/>
        </w:rPr>
      </w:pPr>
      <w:r>
        <w:rPr>
          <w:rFonts w:hint="eastAsia" w:ascii="宋体" w:hAnsi="宋体" w:cs="宋体"/>
          <w:kern w:val="0"/>
          <w:sz w:val="24"/>
        </w:rPr>
        <w:t>力监测、压力氮气管道、快开阀等,在事故状态下,自动向透平氧压机内部充氮灭火的系统。</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3.17 集散控制系统 co1lecting and distributing control system</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通过微机实现的,集中管理显示,集中、分散(就地)均能控制的系统。</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3.18 相关气体 relative gases</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与氧气生产相关联的氮气、氩气、稀有气体和氢气等。</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3.19 氧气使用 application of oxygen</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钢瓶装氧气、管道氧气和液氧气化等方式为气源的使用。</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3.20 低温液体 cryogenic liquid</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液态氧、液态氮、液态氩、液态空气等。</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3.21 空投试验 imitative start</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主机启动前,断开动力电源,按正常启动程序模拟启动,检验启动条件和保护装置的试验。</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3.22 空气预冷系统 air preecooling system</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原料空气进入空分装置或分子筛吸附器前，预先冷却以降低温度和含水量，包括空气冷却塔、氮水冷却塔、冷冻机组、水泵、阀门、自动调节等的系统。</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3.23 有氢制氩或无氢制氩 argon purification with hydrogen/argon purification without hydrogen</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粗氩含氧通过加氢燃烧去除的制氩方法称为有氢制氩。</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氩馏分含氧通过全精馏分离去除的制氩方法，因不用加氢除氧，称无氢制氩（亦称全精馏提氩）。</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3.24 外压缩流程（氧气）/内压缩流程（氧气） external compression process（oxygen）/internal compression process（oxygen）</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出空分装置冷箱的低压氧气经氧压机加压到用户所需压力，然后送到氧气管网和用户的空分流程，该过程是在空分装置冷箱外完成的，故称外压缩流程（氧气）。</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将主冷的液氧用液氧泵加压到用户所需要的压力，然后在主换热器中被气化和复热，出空分装置冷箱后直接送往氧气管网和用户的流程，该过程是在空分装置冷箱内完成的，故称内压缩流程（氧气）。</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3.25 浸浴式主冷/降膜式主冷 bath soaked main condenser/down-flow main condenser</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换热单元浸浴在液氧中工作，内存大量液氧，有液氧面高度的主冷称浸浴式主冷。</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液氧自主冷却顶部的分配器溢流，靠重力向下流动，在氧通道形成液氧膜，内部不积存液氧没有液氧高度的主冷称降膜式主冷，亦称溢流式主冷。</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3.26 在线监测/离线监测 online monitor/offline monitor</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通过装在生产线和设备上的各类检测仪表，对生产及设备状况进行连续自动检测称在线监测。</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通过生产线和设备以外的各类检测仪表，对生产及设备状况进行必要的人工抽查检测称离线监测。</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3.27 变频启动 frequency converting startup</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降低供电频率，降低启动电压，减小装置启动时的功率，实现平滑启动的大电机启动方式。</w:t>
      </w:r>
    </w:p>
    <w:p>
      <w:pPr>
        <w:pStyle w:val="2"/>
        <w:adjustRightInd w:val="0"/>
        <w:snapToGrid w:val="0"/>
        <w:spacing w:before="0" w:after="0" w:line="360" w:lineRule="auto"/>
        <w:ind w:firstLine="480" w:firstLineChars="200"/>
        <w:rPr>
          <w:rFonts w:hint="eastAsia" w:ascii="宋体" w:hAnsi="宋体"/>
          <w:b w:val="0"/>
          <w:kern w:val="0"/>
          <w:sz w:val="24"/>
          <w:szCs w:val="24"/>
        </w:rPr>
      </w:pPr>
      <w:r>
        <w:rPr>
          <w:rFonts w:hint="eastAsia" w:ascii="宋体" w:hAnsi="宋体"/>
          <w:b w:val="0"/>
          <w:kern w:val="0"/>
          <w:sz w:val="24"/>
          <w:szCs w:val="24"/>
        </w:rPr>
        <w:t>4 基本要求</w:t>
      </w:r>
    </w:p>
    <w:p>
      <w:pPr>
        <w:pStyle w:val="3"/>
        <w:adjustRightInd w:val="0"/>
        <w:snapToGrid w:val="0"/>
        <w:spacing w:before="0" w:after="0" w:line="360" w:lineRule="auto"/>
        <w:ind w:firstLine="480" w:firstLineChars="200"/>
        <w:rPr>
          <w:rFonts w:hint="eastAsia" w:ascii="宋体" w:hAnsi="宋体" w:eastAsia="宋体"/>
          <w:b w:val="0"/>
          <w:kern w:val="0"/>
          <w:sz w:val="24"/>
          <w:szCs w:val="24"/>
        </w:rPr>
      </w:pPr>
      <w:r>
        <w:rPr>
          <w:rFonts w:hint="eastAsia" w:ascii="宋体" w:hAnsi="宋体" w:eastAsia="宋体"/>
          <w:b w:val="0"/>
          <w:kern w:val="0"/>
          <w:sz w:val="24"/>
          <w:szCs w:val="24"/>
        </w:rPr>
        <w:t>4.1 总原则</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4.1.1 为贯彻安全生产方针,防止氧气生产、储运、使用中的事故发生,改善劳动条件，保障国家财产和人民的生命与健康,促进氧气行业的发展,特制定本规程。</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4.1.2 氧气设备专业制造厂应持有相应的制造许可证，并应对其出厂氧气设备、零部件的质量与安全负责,应出具安全、质量保证书和产品合格证，并出具安装、操作、维修等完整的技术文件。</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4.1.3 氧气设施的设计单位应具有相应的设计资质。</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4.1.4 施工、安装、检修单位应履行氧气设备、设施的施工、检修资格的认可手续,经上级主管部门批准,取得相应的合格证书。施工、安装、检修完毕,应做好安全、质量检查和验收交接。施工单位应按图施工,遇有变更,应由设计、施工安装及生产单位三方商定，由设计单位书面认可或出具变更文件后实施。重要变更,应报上级批准。</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4.1.5 新建、扩建、改建氧气厂(站、车间)时,必须执行国家有关危险化学品建设项目安全许可规定，其安全设施应与主体工程同时设计、同时施工、同时投入生产和使用。</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4.1.6 氧气生产单位，应选择有相应资质的安全评价机构进行安全评价，并取得危险化学品安全生产许可证后，方可从事生产活动。</w:t>
      </w:r>
    </w:p>
    <w:p>
      <w:pPr>
        <w:pStyle w:val="3"/>
        <w:adjustRightInd w:val="0"/>
        <w:snapToGrid w:val="0"/>
        <w:spacing w:before="0" w:after="0" w:line="360" w:lineRule="auto"/>
        <w:ind w:firstLine="480" w:firstLineChars="200"/>
        <w:rPr>
          <w:rFonts w:hint="eastAsia" w:ascii="宋体" w:hAnsi="宋体" w:eastAsia="宋体"/>
          <w:b w:val="0"/>
          <w:kern w:val="0"/>
          <w:sz w:val="24"/>
          <w:szCs w:val="24"/>
        </w:rPr>
      </w:pPr>
      <w:r>
        <w:rPr>
          <w:rFonts w:hint="eastAsia" w:ascii="宋体" w:hAnsi="宋体" w:eastAsia="宋体"/>
          <w:b w:val="0"/>
          <w:kern w:val="0"/>
          <w:sz w:val="24"/>
          <w:szCs w:val="24"/>
        </w:rPr>
        <w:t>4.2 总图布置</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4.2.1 氧气生产场所建设地点选择应符合当地城市与工业区总体规划，经技术经济比较与安全评估，择优选取经济效益、社会效益、环境效益好且安全可靠的厂址。</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a)氧气生产场所应选择在环境清洁地区，并布置在有害气体及固体尘埃散发源的全年</w:t>
      </w:r>
    </w:p>
    <w:p>
      <w:pPr>
        <w:widowControl/>
        <w:adjustRightInd w:val="0"/>
        <w:snapToGrid w:val="0"/>
        <w:spacing w:line="360" w:lineRule="auto"/>
        <w:jc w:val="left"/>
        <w:rPr>
          <w:rFonts w:hint="eastAsia" w:ascii="宋体" w:hAnsi="宋体" w:cs="宋体"/>
          <w:kern w:val="0"/>
          <w:sz w:val="24"/>
        </w:rPr>
      </w:pPr>
      <w:r>
        <w:rPr>
          <w:rFonts w:hint="eastAsia" w:ascii="宋体" w:hAnsi="宋体" w:cs="宋体"/>
          <w:kern w:val="0"/>
          <w:sz w:val="24"/>
        </w:rPr>
        <w:t>最小频率风向的下风侧,应考虑周围企业扩建时可能对本厂安全带来的影响。</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b)氧气生产场所宜靠近主要用户，并应有方便、经济的交通运输条件。</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c)氧气生产和储存场所距国家铁路不应小于200m。</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d）氧气生产场所距居民区的距离要考虑噪声影响，应符合GB 12348、GB 3096的有关规定。</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e)氧气生产场所应具有良好的地质条件。氧气生产场所不宜选择在发震断层及地震地峰值加速度大于或等于0.4g（地震基本烈度大于或等于9度）的地震区。</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4.2.2 空分装置的吸风口与散发碳氢化合物(尤其是乙炔)等有害气体发生源应有一定的安全距离。吸风口空气中有害杂质允许极限含量应通过实际检测，符合表1的要求。</w:t>
      </w:r>
    </w:p>
    <w:p>
      <w:pPr>
        <w:widowControl/>
        <w:adjustRightInd w:val="0"/>
        <w:snapToGrid w:val="0"/>
        <w:spacing w:line="360" w:lineRule="auto"/>
        <w:ind w:firstLine="480" w:firstLineChars="200"/>
        <w:rPr>
          <w:rFonts w:ascii="宋体" w:hAnsi="宋体" w:cs="宋体"/>
          <w:kern w:val="0"/>
          <w:sz w:val="24"/>
        </w:rPr>
      </w:pPr>
      <w:r>
        <w:rPr>
          <w:rFonts w:hint="eastAsia" w:ascii="宋体" w:hAnsi="宋体" w:cs="宋体"/>
          <w:kern w:val="0"/>
          <w:sz w:val="24"/>
        </w:rPr>
        <w:t>表1               吸风口空气中有害杂质允许极限含量</w:t>
      </w:r>
    </w:p>
    <w:tbl>
      <w:tblPr>
        <w:tblStyle w:val="5"/>
        <w:tblW w:w="5000" w:type="pct"/>
        <w:tblCellSpacing w:w="0" w:type="dxa"/>
        <w:tblInd w:w="0" w:type="dxa"/>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Layout w:type="autofit"/>
        <w:tblCellMar>
          <w:top w:w="15" w:type="dxa"/>
          <w:left w:w="15" w:type="dxa"/>
          <w:bottom w:w="15" w:type="dxa"/>
          <w:right w:w="15" w:type="dxa"/>
        </w:tblCellMar>
      </w:tblPr>
      <w:tblGrid>
        <w:gridCol w:w="3589"/>
        <w:gridCol w:w="5855"/>
      </w:tblGrid>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15" w:type="dxa"/>
            <w:left w:w="15" w:type="dxa"/>
            <w:bottom w:w="15" w:type="dxa"/>
            <w:right w:w="15" w:type="dxa"/>
          </w:tblCellMar>
        </w:tblPrEx>
        <w:trPr>
          <w:trHeight w:val="345" w:hRule="atLeast"/>
          <w:tblCellSpacing w:w="0" w:type="dxa"/>
        </w:trPr>
        <w:tc>
          <w:tcPr>
            <w:tcW w:w="1900" w:type="pct"/>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杂质名称及分子式</w:t>
            </w:r>
          </w:p>
        </w:tc>
        <w:tc>
          <w:tcPr>
            <w:tcW w:w="3100" w:type="pct"/>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允许极限含量</w:t>
            </w: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PrEx>
        <w:trPr>
          <w:trHeight w:val="345" w:hRule="atLeast"/>
          <w:tblCellSpacing w:w="0" w:type="dxa"/>
        </w:trPr>
        <w:tc>
          <w:tcPr>
            <w:tcW w:w="1900" w:type="pct"/>
            <w:vAlign w:val="center"/>
          </w:tcPr>
          <w:p>
            <w:pPr>
              <w:widowControl/>
              <w:adjustRightInd w:val="0"/>
              <w:snapToGrid w:val="0"/>
              <w:spacing w:line="360" w:lineRule="auto"/>
              <w:jc w:val="left"/>
              <w:rPr>
                <w:rFonts w:ascii="宋体" w:hAnsi="宋体" w:cs="宋体"/>
                <w:kern w:val="0"/>
                <w:szCs w:val="21"/>
                <w:vertAlign w:val="subscript"/>
              </w:rPr>
            </w:pPr>
            <w:r>
              <w:rPr>
                <w:rFonts w:hint="eastAsia" w:ascii="宋体" w:hAnsi="宋体" w:cs="宋体"/>
                <w:kern w:val="0"/>
                <w:szCs w:val="21"/>
              </w:rPr>
              <w:t>乙炔 C</w:t>
            </w:r>
            <w:r>
              <w:rPr>
                <w:rFonts w:hint="eastAsia" w:ascii="宋体" w:hAnsi="宋体" w:cs="宋体"/>
                <w:kern w:val="0"/>
                <w:szCs w:val="21"/>
                <w:vertAlign w:val="subscript"/>
              </w:rPr>
              <w:t>2</w:t>
            </w:r>
            <w:r>
              <w:rPr>
                <w:rFonts w:hint="eastAsia" w:ascii="宋体" w:hAnsi="宋体" w:cs="宋体"/>
                <w:kern w:val="0"/>
                <w:szCs w:val="21"/>
              </w:rPr>
              <w:t>H</w:t>
            </w:r>
            <w:r>
              <w:rPr>
                <w:rFonts w:hint="eastAsia" w:ascii="宋体" w:hAnsi="宋体" w:cs="宋体"/>
                <w:kern w:val="0"/>
                <w:szCs w:val="21"/>
                <w:vertAlign w:val="subscript"/>
              </w:rPr>
              <w:t>2</w:t>
            </w:r>
          </w:p>
        </w:tc>
        <w:tc>
          <w:tcPr>
            <w:tcW w:w="3100" w:type="pct"/>
            <w:vAlign w:val="center"/>
          </w:tcPr>
          <w:p>
            <w:pPr>
              <w:widowControl/>
              <w:adjustRightInd w:val="0"/>
              <w:snapToGrid w:val="0"/>
              <w:spacing w:line="360" w:lineRule="auto"/>
              <w:jc w:val="center"/>
              <w:rPr>
                <w:rFonts w:ascii="宋体" w:hAnsi="宋体" w:cs="宋体"/>
                <w:kern w:val="0"/>
                <w:szCs w:val="21"/>
                <w:vertAlign w:val="superscript"/>
              </w:rPr>
            </w:pPr>
            <w:r>
              <w:rPr>
                <w:rFonts w:hint="eastAsia" w:ascii="宋体" w:hAnsi="宋体" w:cs="宋体"/>
                <w:kern w:val="0"/>
                <w:szCs w:val="21"/>
              </w:rPr>
              <w:t>0.5×10</w:t>
            </w:r>
            <w:r>
              <w:rPr>
                <w:rFonts w:hint="eastAsia" w:ascii="宋体" w:hAnsi="宋体" w:cs="宋体"/>
                <w:kern w:val="0"/>
                <w:szCs w:val="21"/>
                <w:vertAlign w:val="superscript"/>
              </w:rPr>
              <w:t>-6</w:t>
            </w: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PrEx>
        <w:trPr>
          <w:trHeight w:val="345" w:hRule="atLeast"/>
          <w:tblCellSpacing w:w="0" w:type="dxa"/>
        </w:trPr>
        <w:tc>
          <w:tcPr>
            <w:tcW w:w="1900" w:type="pct"/>
            <w:vAlign w:val="center"/>
          </w:tcPr>
          <w:p>
            <w:pPr>
              <w:widowControl/>
              <w:adjustRightInd w:val="0"/>
              <w:snapToGrid w:val="0"/>
              <w:spacing w:line="360" w:lineRule="auto"/>
              <w:jc w:val="left"/>
              <w:rPr>
                <w:rFonts w:ascii="宋体" w:hAnsi="宋体" w:cs="宋体"/>
                <w:kern w:val="0"/>
                <w:szCs w:val="21"/>
                <w:vertAlign w:val="subscript"/>
              </w:rPr>
            </w:pPr>
            <w:r>
              <w:rPr>
                <w:rFonts w:hint="eastAsia" w:ascii="宋体" w:hAnsi="宋体" w:cs="宋体"/>
                <w:kern w:val="0"/>
                <w:szCs w:val="21"/>
              </w:rPr>
              <w:t>甲烷 CH</w:t>
            </w:r>
            <w:r>
              <w:rPr>
                <w:rFonts w:hint="eastAsia" w:ascii="宋体" w:hAnsi="宋体" w:cs="宋体"/>
                <w:kern w:val="0"/>
                <w:szCs w:val="21"/>
                <w:vertAlign w:val="subscript"/>
              </w:rPr>
              <w:t>4</w:t>
            </w:r>
          </w:p>
        </w:tc>
        <w:tc>
          <w:tcPr>
            <w:tcW w:w="3100" w:type="pct"/>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5×10</w:t>
            </w:r>
            <w:r>
              <w:rPr>
                <w:rFonts w:hint="eastAsia" w:ascii="宋体" w:hAnsi="宋体" w:cs="宋体"/>
                <w:kern w:val="0"/>
                <w:szCs w:val="21"/>
                <w:vertAlign w:val="superscript"/>
              </w:rPr>
              <w:t>-6</w:t>
            </w: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15" w:type="dxa"/>
            <w:left w:w="15" w:type="dxa"/>
            <w:bottom w:w="15" w:type="dxa"/>
            <w:right w:w="15" w:type="dxa"/>
          </w:tblCellMar>
        </w:tblPrEx>
        <w:trPr>
          <w:trHeight w:val="345" w:hRule="atLeast"/>
          <w:tblCellSpacing w:w="0" w:type="dxa"/>
        </w:trPr>
        <w:tc>
          <w:tcPr>
            <w:tcW w:w="1900" w:type="pct"/>
            <w:vAlign w:val="center"/>
          </w:tcPr>
          <w:p>
            <w:pPr>
              <w:widowControl/>
              <w:adjustRightInd w:val="0"/>
              <w:snapToGrid w:val="0"/>
              <w:spacing w:line="360" w:lineRule="auto"/>
              <w:jc w:val="left"/>
              <w:rPr>
                <w:rFonts w:ascii="宋体" w:hAnsi="宋体" w:cs="宋体"/>
                <w:kern w:val="0"/>
                <w:szCs w:val="21"/>
                <w:vertAlign w:val="subscript"/>
              </w:rPr>
            </w:pPr>
            <w:r>
              <w:rPr>
                <w:rFonts w:hint="eastAsia" w:ascii="宋体" w:hAnsi="宋体" w:cs="宋体"/>
                <w:kern w:val="0"/>
                <w:szCs w:val="21"/>
              </w:rPr>
              <w:t>总烃 C</w:t>
            </w:r>
            <w:r>
              <w:rPr>
                <w:rFonts w:hint="eastAsia" w:ascii="宋体" w:hAnsi="宋体" w:cs="宋体"/>
                <w:kern w:val="0"/>
                <w:szCs w:val="21"/>
                <w:vertAlign w:val="subscript"/>
              </w:rPr>
              <w:t>M</w:t>
            </w:r>
            <w:r>
              <w:rPr>
                <w:rFonts w:hint="eastAsia" w:ascii="宋体" w:hAnsi="宋体" w:cs="宋体"/>
                <w:kern w:val="0"/>
                <w:szCs w:val="21"/>
              </w:rPr>
              <w:t>H</w:t>
            </w:r>
            <w:r>
              <w:rPr>
                <w:rFonts w:hint="eastAsia" w:ascii="宋体" w:hAnsi="宋体" w:cs="宋体"/>
                <w:kern w:val="0"/>
                <w:szCs w:val="21"/>
                <w:vertAlign w:val="subscript"/>
              </w:rPr>
              <w:t>N</w:t>
            </w:r>
          </w:p>
        </w:tc>
        <w:tc>
          <w:tcPr>
            <w:tcW w:w="3100" w:type="pct"/>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8×10</w:t>
            </w:r>
            <w:r>
              <w:rPr>
                <w:rFonts w:hint="eastAsia" w:ascii="宋体" w:hAnsi="宋体" w:cs="宋体"/>
                <w:kern w:val="0"/>
                <w:szCs w:val="21"/>
                <w:vertAlign w:val="superscript"/>
              </w:rPr>
              <w:t>-6</w:t>
            </w: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15" w:type="dxa"/>
            <w:left w:w="15" w:type="dxa"/>
            <w:bottom w:w="15" w:type="dxa"/>
            <w:right w:w="15" w:type="dxa"/>
          </w:tblCellMar>
        </w:tblPrEx>
        <w:trPr>
          <w:trHeight w:val="345" w:hRule="atLeast"/>
          <w:tblCellSpacing w:w="0" w:type="dxa"/>
        </w:trPr>
        <w:tc>
          <w:tcPr>
            <w:tcW w:w="1900" w:type="pct"/>
            <w:vAlign w:val="center"/>
          </w:tcPr>
          <w:p>
            <w:pPr>
              <w:widowControl/>
              <w:adjustRightInd w:val="0"/>
              <w:snapToGrid w:val="0"/>
              <w:spacing w:line="360" w:lineRule="auto"/>
              <w:jc w:val="left"/>
              <w:rPr>
                <w:rFonts w:hint="eastAsia" w:ascii="宋体" w:hAnsi="宋体" w:cs="宋体"/>
                <w:kern w:val="0"/>
                <w:szCs w:val="21"/>
                <w:vertAlign w:val="subscript"/>
              </w:rPr>
            </w:pPr>
            <w:r>
              <w:rPr>
                <w:rFonts w:hint="eastAsia" w:ascii="宋体" w:hAnsi="宋体" w:cs="宋体"/>
                <w:kern w:val="0"/>
                <w:szCs w:val="21"/>
              </w:rPr>
              <w:t>二氧化碳 CO</w:t>
            </w:r>
            <w:r>
              <w:rPr>
                <w:rFonts w:hint="eastAsia" w:ascii="宋体" w:hAnsi="宋体" w:cs="宋体"/>
                <w:kern w:val="0"/>
                <w:szCs w:val="21"/>
                <w:vertAlign w:val="subscript"/>
              </w:rPr>
              <w:t>2</w:t>
            </w:r>
          </w:p>
        </w:tc>
        <w:tc>
          <w:tcPr>
            <w:tcW w:w="3100" w:type="pct"/>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400×10</w:t>
            </w:r>
            <w:r>
              <w:rPr>
                <w:rFonts w:hint="eastAsia" w:ascii="宋体" w:hAnsi="宋体" w:cs="宋体"/>
                <w:kern w:val="0"/>
                <w:szCs w:val="21"/>
                <w:vertAlign w:val="superscript"/>
              </w:rPr>
              <w:t>-6</w:t>
            </w: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PrEx>
        <w:trPr>
          <w:trHeight w:val="345" w:hRule="atLeast"/>
          <w:tblCellSpacing w:w="0" w:type="dxa"/>
        </w:trPr>
        <w:tc>
          <w:tcPr>
            <w:tcW w:w="1900" w:type="pct"/>
            <w:vAlign w:val="center"/>
          </w:tcPr>
          <w:p>
            <w:pPr>
              <w:widowControl/>
              <w:adjustRightInd w:val="0"/>
              <w:snapToGrid w:val="0"/>
              <w:spacing w:line="360" w:lineRule="auto"/>
              <w:jc w:val="left"/>
              <w:rPr>
                <w:rFonts w:ascii="宋体" w:hAnsi="宋体" w:cs="宋体"/>
                <w:kern w:val="0"/>
                <w:szCs w:val="21"/>
              </w:rPr>
            </w:pPr>
            <w:r>
              <w:rPr>
                <w:rFonts w:hint="eastAsia" w:ascii="宋体" w:hAnsi="宋体" w:cs="宋体"/>
                <w:kern w:val="0"/>
                <w:szCs w:val="21"/>
              </w:rPr>
              <w:t>氧化亚氮 N</w:t>
            </w:r>
            <w:r>
              <w:rPr>
                <w:rFonts w:hint="eastAsia" w:ascii="宋体" w:hAnsi="宋体" w:cs="宋体"/>
                <w:kern w:val="0"/>
                <w:szCs w:val="21"/>
                <w:vertAlign w:val="subscript"/>
              </w:rPr>
              <w:t>2</w:t>
            </w:r>
            <w:r>
              <w:rPr>
                <w:rFonts w:hint="eastAsia" w:ascii="宋体" w:hAnsi="宋体" w:cs="宋体"/>
                <w:kern w:val="0"/>
                <w:szCs w:val="21"/>
              </w:rPr>
              <w:t>O</w:t>
            </w:r>
          </w:p>
        </w:tc>
        <w:tc>
          <w:tcPr>
            <w:tcW w:w="3100" w:type="pct"/>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0.35×10</w:t>
            </w:r>
            <w:r>
              <w:rPr>
                <w:rFonts w:hint="eastAsia" w:ascii="宋体" w:hAnsi="宋体" w:cs="宋体"/>
                <w:kern w:val="0"/>
                <w:szCs w:val="21"/>
                <w:vertAlign w:val="superscript"/>
              </w:rPr>
              <w:t>-6</w:t>
            </w: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15" w:type="dxa"/>
            <w:left w:w="15" w:type="dxa"/>
            <w:bottom w:w="15" w:type="dxa"/>
            <w:right w:w="15" w:type="dxa"/>
          </w:tblCellMar>
        </w:tblPrEx>
        <w:trPr>
          <w:trHeight w:val="345" w:hRule="atLeast"/>
          <w:tblCellSpacing w:w="0" w:type="dxa"/>
        </w:trPr>
        <w:tc>
          <w:tcPr>
            <w:tcW w:w="5000" w:type="pct"/>
            <w:gridSpan w:val="2"/>
            <w:vAlign w:val="center"/>
          </w:tcPr>
          <w:p>
            <w:pPr>
              <w:widowControl/>
              <w:adjustRightInd w:val="0"/>
              <w:snapToGrid w:val="0"/>
              <w:spacing w:line="360" w:lineRule="auto"/>
              <w:rPr>
                <w:rFonts w:hint="eastAsia" w:ascii="宋体" w:hAnsi="宋体" w:cs="宋体"/>
                <w:kern w:val="0"/>
                <w:szCs w:val="21"/>
              </w:rPr>
            </w:pPr>
            <w:r>
              <w:rPr>
                <w:rFonts w:hint="eastAsia" w:ascii="宋体" w:hAnsi="宋体" w:cs="宋体"/>
                <w:kern w:val="0"/>
                <w:szCs w:val="21"/>
              </w:rPr>
              <w:t>注：当吸风口空气中有害杂质含量超标且无法避免时，应在空分装置前采取针对性有效的分子筛吸附净化措施。</w:t>
            </w:r>
          </w:p>
        </w:tc>
      </w:tr>
    </w:tbl>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4.2.3 空分装置吸风口处空气中的含尘量,应不大于30mg/m</w:t>
      </w:r>
      <w:r>
        <w:rPr>
          <w:rFonts w:hint="eastAsia" w:ascii="宋体" w:hAnsi="宋体" w:cs="宋体"/>
          <w:kern w:val="0"/>
          <w:sz w:val="24"/>
          <w:vertAlign w:val="superscript"/>
        </w:rPr>
        <w:t>3</w:t>
      </w:r>
      <w:r>
        <w:rPr>
          <w:rFonts w:hint="eastAsia" w:ascii="宋体" w:hAnsi="宋体" w:cs="宋体"/>
          <w:kern w:val="0"/>
          <w:sz w:val="24"/>
        </w:rPr>
        <w:t>。</w:t>
      </w:r>
    </w:p>
    <w:p>
      <w:pPr>
        <w:pStyle w:val="3"/>
        <w:adjustRightInd w:val="0"/>
        <w:snapToGrid w:val="0"/>
        <w:spacing w:before="0" w:after="0" w:line="360" w:lineRule="auto"/>
        <w:ind w:firstLine="480" w:firstLineChars="200"/>
        <w:rPr>
          <w:rFonts w:ascii="宋体" w:hAnsi="宋体" w:eastAsia="宋体"/>
          <w:b w:val="0"/>
          <w:kern w:val="0"/>
          <w:sz w:val="24"/>
          <w:szCs w:val="24"/>
        </w:rPr>
      </w:pPr>
      <w:r>
        <w:rPr>
          <w:rFonts w:hint="eastAsia" w:ascii="宋体" w:hAnsi="宋体" w:eastAsia="宋体"/>
          <w:b w:val="0"/>
          <w:kern w:val="0"/>
          <w:sz w:val="24"/>
          <w:szCs w:val="24"/>
        </w:rPr>
        <w:t>4.3 设施类别及防火间距</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各车间建、构筑物生产类别、耐火等级及建、构筑物与其他工业、民用设施的防火间距,应符合GB 50016的有关规定。</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4.3.1 生产车间建、构筑物的生产类别和最低耐火等级应符合表2的规定。</w:t>
      </w:r>
    </w:p>
    <w:p>
      <w:pPr>
        <w:widowControl/>
        <w:adjustRightInd w:val="0"/>
        <w:snapToGrid w:val="0"/>
        <w:spacing w:line="360" w:lineRule="auto"/>
        <w:ind w:firstLine="480" w:firstLineChars="200"/>
        <w:rPr>
          <w:rFonts w:hint="eastAsia" w:ascii="宋体" w:hAnsi="宋体" w:cs="宋体"/>
          <w:kern w:val="0"/>
          <w:sz w:val="24"/>
        </w:rPr>
      </w:pPr>
      <w:r>
        <w:rPr>
          <w:rFonts w:hint="eastAsia" w:ascii="宋体" w:hAnsi="宋体" w:cs="宋体"/>
          <w:kern w:val="0"/>
          <w:sz w:val="24"/>
        </w:rPr>
        <w:t>表2               各车间设施生产类别及最低耐火等级</w:t>
      </w:r>
    </w:p>
    <w:tbl>
      <w:tblPr>
        <w:tblStyle w:val="5"/>
        <w:tblW w:w="5000" w:type="pct"/>
        <w:tblCellSpacing w:w="0" w:type="dxa"/>
        <w:tblInd w:w="0" w:type="dxa"/>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Layout w:type="autofit"/>
        <w:tblCellMar>
          <w:top w:w="15" w:type="dxa"/>
          <w:left w:w="15" w:type="dxa"/>
          <w:bottom w:w="15" w:type="dxa"/>
          <w:right w:w="15" w:type="dxa"/>
        </w:tblCellMar>
      </w:tblPr>
      <w:tblGrid>
        <w:gridCol w:w="2064"/>
        <w:gridCol w:w="4769"/>
        <w:gridCol w:w="1099"/>
        <w:gridCol w:w="1512"/>
      </w:tblGrid>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15" w:type="dxa"/>
            <w:left w:w="15" w:type="dxa"/>
            <w:bottom w:w="15" w:type="dxa"/>
            <w:right w:w="15" w:type="dxa"/>
          </w:tblCellMar>
        </w:tblPrEx>
        <w:trPr>
          <w:tblCellSpacing w:w="0" w:type="dxa"/>
        </w:trPr>
        <w:tc>
          <w:tcPr>
            <w:tcW w:w="3618" w:type="pct"/>
            <w:gridSpan w:val="2"/>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名  称</w:t>
            </w:r>
          </w:p>
        </w:tc>
        <w:tc>
          <w:tcPr>
            <w:tcW w:w="582" w:type="pct"/>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生产类别</w:t>
            </w:r>
          </w:p>
        </w:tc>
        <w:tc>
          <w:tcPr>
            <w:tcW w:w="800" w:type="pct"/>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最低耐火等级</w:t>
            </w: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15" w:type="dxa"/>
            <w:left w:w="15" w:type="dxa"/>
            <w:bottom w:w="15" w:type="dxa"/>
            <w:right w:w="15" w:type="dxa"/>
          </w:tblCellMar>
        </w:tblPrEx>
        <w:trPr>
          <w:tblCellSpacing w:w="0" w:type="dxa"/>
        </w:trPr>
        <w:tc>
          <w:tcPr>
            <w:tcW w:w="1093" w:type="pct"/>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主要生产车间及设施</w:t>
            </w:r>
          </w:p>
        </w:tc>
        <w:tc>
          <w:tcPr>
            <w:tcW w:w="2525" w:type="pct"/>
          </w:tcPr>
          <w:p>
            <w:pPr>
              <w:widowControl/>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制氧、压氧厂房</w:t>
            </w:r>
          </w:p>
          <w:p>
            <w:pPr>
              <w:widowControl/>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主厂房</w:t>
            </w:r>
          </w:p>
          <w:p>
            <w:pPr>
              <w:widowControl/>
              <w:adjustRightInd w:val="0"/>
              <w:snapToGrid w:val="0"/>
              <w:spacing w:line="360" w:lineRule="auto"/>
              <w:jc w:val="left"/>
              <w:rPr>
                <w:rFonts w:ascii="宋体" w:hAnsi="宋体" w:cs="宋体"/>
                <w:kern w:val="0"/>
                <w:szCs w:val="21"/>
              </w:rPr>
            </w:pPr>
            <w:r>
              <w:rPr>
                <w:rFonts w:hint="eastAsia" w:ascii="宋体" w:hAnsi="宋体" w:cs="宋体"/>
                <w:kern w:val="0"/>
                <w:szCs w:val="21"/>
              </w:rPr>
              <w:t>液氧系统设施</w:t>
            </w:r>
          </w:p>
          <w:p>
            <w:pPr>
              <w:widowControl/>
              <w:adjustRightInd w:val="0"/>
              <w:snapToGrid w:val="0"/>
              <w:spacing w:line="360" w:lineRule="auto"/>
              <w:jc w:val="left"/>
              <w:rPr>
                <w:rFonts w:ascii="宋体" w:hAnsi="宋体" w:cs="宋体"/>
                <w:kern w:val="0"/>
                <w:szCs w:val="21"/>
              </w:rPr>
            </w:pPr>
            <w:r>
              <w:rPr>
                <w:rFonts w:hint="eastAsia" w:ascii="宋体" w:hAnsi="宋体" w:cs="宋体"/>
                <w:kern w:val="0"/>
                <w:szCs w:val="21"/>
              </w:rPr>
              <w:t>氧气调节阀组的阀门室</w:t>
            </w:r>
          </w:p>
          <w:p>
            <w:pPr>
              <w:widowControl/>
              <w:adjustRightInd w:val="0"/>
              <w:snapToGrid w:val="0"/>
              <w:spacing w:line="360" w:lineRule="auto"/>
              <w:jc w:val="left"/>
              <w:rPr>
                <w:rFonts w:ascii="宋体" w:hAnsi="宋体" w:cs="宋体"/>
                <w:kern w:val="0"/>
                <w:szCs w:val="21"/>
              </w:rPr>
            </w:pPr>
            <w:r>
              <w:rPr>
                <w:rFonts w:hint="eastAsia" w:ascii="宋体" w:hAnsi="宋体" w:cs="宋体"/>
                <w:kern w:val="0"/>
                <w:szCs w:val="21"/>
              </w:rPr>
              <w:t>氧气充瓶间（灌氧站房）、汇流排间</w:t>
            </w:r>
          </w:p>
          <w:p>
            <w:pPr>
              <w:widowControl/>
              <w:adjustRightInd w:val="0"/>
              <w:snapToGrid w:val="0"/>
              <w:spacing w:line="360" w:lineRule="auto"/>
              <w:jc w:val="left"/>
              <w:rPr>
                <w:rFonts w:ascii="宋体" w:hAnsi="宋体" w:cs="宋体"/>
                <w:kern w:val="0"/>
                <w:szCs w:val="21"/>
              </w:rPr>
            </w:pPr>
            <w:r>
              <w:rPr>
                <w:rFonts w:hint="eastAsia" w:ascii="宋体" w:hAnsi="宋体" w:cs="宋体"/>
                <w:kern w:val="0"/>
                <w:szCs w:val="21"/>
              </w:rPr>
              <w:t>氮气压缩机间、充瓶间、汇流排间</w:t>
            </w:r>
          </w:p>
          <w:p>
            <w:pPr>
              <w:widowControl/>
              <w:adjustRightInd w:val="0"/>
              <w:snapToGrid w:val="0"/>
              <w:spacing w:line="360" w:lineRule="auto"/>
              <w:jc w:val="left"/>
              <w:rPr>
                <w:rFonts w:ascii="宋体" w:hAnsi="宋体" w:cs="宋体"/>
                <w:kern w:val="0"/>
                <w:szCs w:val="21"/>
              </w:rPr>
            </w:pPr>
            <w:r>
              <w:rPr>
                <w:rFonts w:hint="eastAsia" w:ascii="宋体" w:hAnsi="宋体" w:cs="宋体"/>
                <w:kern w:val="0"/>
                <w:szCs w:val="21"/>
              </w:rPr>
              <w:t>液氮系统设施</w:t>
            </w:r>
          </w:p>
          <w:p>
            <w:pPr>
              <w:widowControl/>
              <w:adjustRightInd w:val="0"/>
              <w:snapToGrid w:val="0"/>
              <w:spacing w:line="360" w:lineRule="auto"/>
              <w:jc w:val="left"/>
              <w:rPr>
                <w:rFonts w:ascii="宋体" w:hAnsi="宋体" w:cs="宋体"/>
                <w:kern w:val="0"/>
                <w:szCs w:val="21"/>
              </w:rPr>
            </w:pPr>
            <w:r>
              <w:rPr>
                <w:rFonts w:hint="eastAsia" w:ascii="宋体" w:hAnsi="宋体" w:cs="宋体"/>
                <w:kern w:val="0"/>
                <w:szCs w:val="21"/>
              </w:rPr>
              <w:t>氩气压缩机间、充瓶间、汇流排间、液氩系统设施</w:t>
            </w:r>
          </w:p>
          <w:p>
            <w:pPr>
              <w:widowControl/>
              <w:adjustRightInd w:val="0"/>
              <w:snapToGrid w:val="0"/>
              <w:spacing w:line="360" w:lineRule="auto"/>
              <w:jc w:val="left"/>
              <w:rPr>
                <w:rFonts w:ascii="宋体" w:hAnsi="宋体" w:cs="宋体"/>
                <w:kern w:val="0"/>
                <w:szCs w:val="21"/>
              </w:rPr>
            </w:pPr>
            <w:r>
              <w:rPr>
                <w:rFonts w:hint="eastAsia" w:ascii="宋体" w:hAnsi="宋体" w:cs="宋体"/>
                <w:kern w:val="0"/>
                <w:szCs w:val="21"/>
              </w:rPr>
              <w:t>氩气净化间（加氢除氧工艺）</w:t>
            </w:r>
          </w:p>
          <w:p>
            <w:pPr>
              <w:widowControl/>
              <w:adjustRightInd w:val="0"/>
              <w:snapToGrid w:val="0"/>
              <w:spacing w:line="360" w:lineRule="auto"/>
              <w:jc w:val="left"/>
              <w:rPr>
                <w:rFonts w:ascii="宋体" w:hAnsi="宋体" w:cs="宋体"/>
                <w:kern w:val="0"/>
                <w:szCs w:val="21"/>
              </w:rPr>
            </w:pPr>
            <w:r>
              <w:rPr>
                <w:rFonts w:hint="eastAsia" w:ascii="宋体" w:hAnsi="宋体" w:cs="宋体"/>
                <w:kern w:val="0"/>
                <w:szCs w:val="21"/>
              </w:rPr>
              <w:t>生产、储存氢气的建、构筑物</w:t>
            </w:r>
          </w:p>
        </w:tc>
        <w:tc>
          <w:tcPr>
            <w:tcW w:w="582" w:type="pct"/>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乙类</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丁类</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乙类</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乙类</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乙类</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戊类</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戊类</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戊类</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甲类</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甲类</w:t>
            </w:r>
          </w:p>
        </w:tc>
        <w:tc>
          <w:tcPr>
            <w:tcW w:w="800" w:type="pct"/>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二级</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二级</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二级</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二级</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二级</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三级</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四级</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四级</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二级</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二级</w:t>
            </w: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15" w:type="dxa"/>
            <w:left w:w="15" w:type="dxa"/>
            <w:bottom w:w="15" w:type="dxa"/>
            <w:right w:w="15" w:type="dxa"/>
          </w:tblCellMar>
        </w:tblPrEx>
        <w:trPr>
          <w:tblCellSpacing w:w="0" w:type="dxa"/>
        </w:trPr>
        <w:tc>
          <w:tcPr>
            <w:tcW w:w="1093" w:type="pct"/>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辅助生产车间</w:t>
            </w:r>
          </w:p>
        </w:tc>
        <w:tc>
          <w:tcPr>
            <w:tcW w:w="2525" w:type="pct"/>
          </w:tcPr>
          <w:p>
            <w:pPr>
              <w:widowControl/>
              <w:adjustRightInd w:val="0"/>
              <w:snapToGrid w:val="0"/>
              <w:spacing w:line="360" w:lineRule="auto"/>
              <w:jc w:val="left"/>
              <w:rPr>
                <w:rFonts w:ascii="宋体" w:hAnsi="宋体" w:cs="宋体"/>
                <w:kern w:val="0"/>
                <w:szCs w:val="21"/>
              </w:rPr>
            </w:pPr>
            <w:r>
              <w:rPr>
                <w:rFonts w:hint="eastAsia" w:ascii="宋体" w:hAnsi="宋体" w:cs="宋体"/>
                <w:kern w:val="0"/>
                <w:szCs w:val="21"/>
              </w:rPr>
              <w:t>水泵房、冷却塔及水处理设施</w:t>
            </w:r>
          </w:p>
          <w:p>
            <w:pPr>
              <w:widowControl/>
              <w:adjustRightInd w:val="0"/>
              <w:snapToGrid w:val="0"/>
              <w:spacing w:line="360" w:lineRule="auto"/>
              <w:jc w:val="left"/>
              <w:rPr>
                <w:rFonts w:ascii="宋体" w:hAnsi="宋体" w:cs="宋体"/>
                <w:kern w:val="0"/>
                <w:szCs w:val="21"/>
              </w:rPr>
            </w:pPr>
            <w:r>
              <w:rPr>
                <w:rFonts w:hint="eastAsia" w:ascii="宋体" w:hAnsi="宋体" w:cs="宋体"/>
                <w:kern w:val="0"/>
                <w:szCs w:val="21"/>
              </w:rPr>
              <w:t>锅炉房</w:t>
            </w:r>
          </w:p>
          <w:p>
            <w:pPr>
              <w:widowControl/>
              <w:adjustRightInd w:val="0"/>
              <w:snapToGrid w:val="0"/>
              <w:spacing w:line="360" w:lineRule="auto"/>
              <w:jc w:val="left"/>
              <w:rPr>
                <w:rFonts w:ascii="宋体" w:hAnsi="宋体" w:cs="宋体"/>
                <w:kern w:val="0"/>
                <w:szCs w:val="21"/>
              </w:rPr>
            </w:pPr>
            <w:r>
              <w:rPr>
                <w:rFonts w:hint="eastAsia" w:ascii="宋体" w:hAnsi="宋体" w:cs="宋体"/>
                <w:kern w:val="0"/>
                <w:szCs w:val="21"/>
              </w:rPr>
              <w:t>氧气厂专用的变配电站</w:t>
            </w:r>
          </w:p>
          <w:p>
            <w:pPr>
              <w:widowControl/>
              <w:adjustRightInd w:val="0"/>
              <w:snapToGrid w:val="0"/>
              <w:spacing w:line="360" w:lineRule="auto"/>
              <w:jc w:val="left"/>
              <w:rPr>
                <w:rFonts w:ascii="宋体" w:hAnsi="宋体" w:cs="宋体"/>
                <w:kern w:val="0"/>
                <w:szCs w:val="21"/>
              </w:rPr>
            </w:pPr>
            <w:r>
              <w:rPr>
                <w:rFonts w:hint="eastAsia" w:ascii="宋体" w:hAnsi="宋体" w:cs="宋体"/>
                <w:kern w:val="0"/>
                <w:szCs w:val="21"/>
              </w:rPr>
              <w:t>油浸变压器室</w:t>
            </w:r>
          </w:p>
        </w:tc>
        <w:tc>
          <w:tcPr>
            <w:tcW w:w="582" w:type="pct"/>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戊类</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丁类</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丙类</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一</w:t>
            </w:r>
          </w:p>
        </w:tc>
        <w:tc>
          <w:tcPr>
            <w:tcW w:w="800" w:type="pct"/>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四级</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三级</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二级</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二级</w:t>
            </w: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15" w:type="dxa"/>
            <w:left w:w="15" w:type="dxa"/>
            <w:bottom w:w="15" w:type="dxa"/>
            <w:right w:w="15" w:type="dxa"/>
          </w:tblCellMar>
        </w:tblPrEx>
        <w:trPr>
          <w:tblCellSpacing w:w="0" w:type="dxa"/>
        </w:trPr>
        <w:tc>
          <w:tcPr>
            <w:tcW w:w="5000" w:type="pct"/>
            <w:gridSpan w:val="4"/>
          </w:tcPr>
          <w:p>
            <w:pPr>
              <w:widowControl/>
              <w:adjustRightInd w:val="0"/>
              <w:snapToGrid w:val="0"/>
              <w:spacing w:line="360" w:lineRule="auto"/>
              <w:jc w:val="left"/>
              <w:rPr>
                <w:rFonts w:ascii="宋体" w:hAnsi="宋体" w:cs="宋体"/>
                <w:kern w:val="0"/>
                <w:szCs w:val="21"/>
              </w:rPr>
            </w:pPr>
            <w:r>
              <w:rPr>
                <w:rFonts w:hint="eastAsia" w:ascii="宋体" w:hAnsi="宋体" w:cs="宋体"/>
                <w:kern w:val="0"/>
                <w:szCs w:val="21"/>
              </w:rPr>
              <w:t>注</w:t>
            </w:r>
            <w:r>
              <w:rPr>
                <w:rFonts w:ascii="宋体" w:hAnsi="宋体" w:cs="宋体"/>
                <w:kern w:val="0"/>
                <w:szCs w:val="21"/>
              </w:rPr>
              <w:t xml:space="preserve"> </w:t>
            </w:r>
            <w:r>
              <w:rPr>
                <w:rFonts w:hint="eastAsia" w:ascii="宋体" w:hAnsi="宋体" w:cs="宋体"/>
                <w:kern w:val="0"/>
                <w:szCs w:val="21"/>
              </w:rPr>
              <w:t>1 液氧（液氮、液氩）系统设施包括：液体储槽、液体泵、气化器和阀门室等。2 制氧、制氢、压氧、压氢、氧瓶、氩瓶等所使用的建筑物不宜吊顶。3 当主厂房的氧压机部分的面积大于本层或防火分区面积的5%和氧压机设有防护墙（罩）时，其面积大于本层或防火分区面积的20%，则主厂房应按乙类火灾危险类别进行设防。</w:t>
            </w:r>
          </w:p>
        </w:tc>
      </w:tr>
    </w:tbl>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4.3.2 各建、构筑物及设施与特定地点的防火间距应不小于表3的规定。</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4.3.3 下述地点有关设施的防火间距如下：</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a)氧气（包括液氧）储罐间的防火间距，应不小于相邻两罐中较大罐的半径；与氢气储罐宜分开设置，必须相邻时，其防火间距应不小于相邻两罐较大罐的直径。</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氧气与氮气、氩气储罐的间距及氮气、氩气储罐之间的间距应满足施工和维修要求，且不宜小于2m。</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液氧储罐与液氮、液氩储罐的间距及液氮、液氩储罐之间的间距应满足施工和维修要求，且不宜小于2m。</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b)氢气储罐间的防火间距，应不小于相邻两罐中较大罐半径；固定容器氢气储罐间的防火间距，应不小于相邻两罐中较大罐直径的2/3；固定容器氢气储罐与湿式、干式氢气储罐间防火间距，应不小于相邻两罐中较大罐直径。</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c)氧气调节阀组宜设置独立阀门室或防护墙（氧气厂、站的氧气调节阀组应设在主厂房外），其防火间距可根据工艺要求确定，但与氧气储罐的防火间距不应小于3.5m。</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d)氧气缓冲器、氧气储气囊与制氧厂房的防火间距,应依据工艺配管和方便操作来确定。</w:t>
      </w:r>
    </w:p>
    <w:p>
      <w:pPr>
        <w:pStyle w:val="3"/>
        <w:adjustRightInd w:val="0"/>
        <w:snapToGrid w:val="0"/>
        <w:spacing w:before="0" w:after="0" w:line="360" w:lineRule="auto"/>
        <w:ind w:firstLine="480" w:firstLineChars="200"/>
        <w:rPr>
          <w:rFonts w:hint="eastAsia" w:ascii="宋体" w:hAnsi="宋体" w:eastAsia="宋体"/>
          <w:b w:val="0"/>
          <w:kern w:val="0"/>
          <w:sz w:val="24"/>
          <w:szCs w:val="24"/>
        </w:rPr>
      </w:pPr>
      <w:r>
        <w:rPr>
          <w:rFonts w:hint="eastAsia" w:ascii="宋体" w:hAnsi="宋体" w:eastAsia="宋体"/>
          <w:b w:val="0"/>
          <w:kern w:val="0"/>
          <w:sz w:val="24"/>
          <w:szCs w:val="24"/>
        </w:rPr>
        <w:t>4.4 一般防护设施</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4.4.1 厂区四周应设围墙或围栏。</w:t>
      </w:r>
    </w:p>
    <w:p>
      <w:pPr>
        <w:widowControl/>
        <w:adjustRightInd w:val="0"/>
        <w:snapToGrid w:val="0"/>
        <w:spacing w:line="360" w:lineRule="auto"/>
        <w:ind w:firstLine="480" w:firstLineChars="200"/>
        <w:jc w:val="left"/>
        <w:rPr>
          <w:rFonts w:hint="eastAsia" w:ascii="宋体" w:hAnsi="宋体" w:cs="宋体"/>
          <w:kern w:val="0"/>
          <w:sz w:val="24"/>
        </w:rPr>
        <w:sectPr>
          <w:pgSz w:w="11906" w:h="16838"/>
          <w:pgMar w:top="1418" w:right="1134" w:bottom="1134" w:left="1418" w:header="851" w:footer="992" w:gutter="0"/>
          <w:cols w:space="425" w:num="1"/>
          <w:docGrid w:type="lines" w:linePitch="312" w:charSpace="0"/>
        </w:sectPr>
      </w:pPr>
      <w:r>
        <w:rPr>
          <w:rFonts w:hint="eastAsia" w:ascii="宋体" w:hAnsi="宋体" w:cs="宋体"/>
          <w:kern w:val="0"/>
          <w:sz w:val="24"/>
        </w:rPr>
        <w:t>4.4.2 各种气体及低温液体储罐周围应设安全标志,必要时设单独围栏或围墙。储罐</w:t>
      </w:r>
    </w:p>
    <w:p>
      <w:pPr>
        <w:widowControl/>
        <w:adjustRightInd w:val="0"/>
        <w:snapToGrid w:val="0"/>
        <w:spacing w:line="360" w:lineRule="auto"/>
        <w:ind w:firstLine="480" w:firstLineChars="200"/>
        <w:rPr>
          <w:rFonts w:ascii="宋体" w:hAnsi="宋体" w:cs="宋体"/>
          <w:kern w:val="0"/>
          <w:sz w:val="24"/>
        </w:rPr>
      </w:pPr>
      <w:r>
        <w:rPr>
          <w:rFonts w:hint="eastAsia" w:ascii="宋体" w:hAnsi="宋体" w:cs="宋体"/>
          <w:kern w:val="0"/>
          <w:sz w:val="24"/>
        </w:rPr>
        <w:t>表3 氧气厂内建、构筑物及设施与特定地点的最小防火间距                                                   单位为米</w:t>
      </w:r>
    </w:p>
    <w:tbl>
      <w:tblPr>
        <w:tblStyle w:val="5"/>
        <w:tblW w:w="0" w:type="auto"/>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30" w:type="dxa"/>
          <w:left w:w="30" w:type="dxa"/>
          <w:bottom w:w="30" w:type="dxa"/>
          <w:right w:w="30" w:type="dxa"/>
        </w:tblCellMar>
      </w:tblPr>
      <w:tblGrid>
        <w:gridCol w:w="1189"/>
        <w:gridCol w:w="1605"/>
        <w:gridCol w:w="1426"/>
        <w:gridCol w:w="1546"/>
        <w:gridCol w:w="1728"/>
        <w:gridCol w:w="781"/>
        <w:gridCol w:w="781"/>
        <w:gridCol w:w="977"/>
        <w:gridCol w:w="1584"/>
        <w:gridCol w:w="1137"/>
        <w:gridCol w:w="1936"/>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rPr>
          <w:trHeight w:val="441" w:hRule="atLeast"/>
          <w:tblCellSpacing w:w="0" w:type="dxa"/>
        </w:trPr>
        <w:tc>
          <w:tcPr>
            <w:tcW w:w="0" w:type="auto"/>
            <w:gridSpan w:val="3"/>
            <w:vMerge w:val="restart"/>
            <w:tcBorders>
              <w:top w:val="single" w:color="auto" w:sz="12" w:space="0"/>
              <w:left w:val="single" w:color="auto" w:sz="12" w:space="0"/>
              <w:bottom w:val="outset" w:color="auto" w:sz="6" w:space="0"/>
              <w:right w:val="outset" w:color="auto" w:sz="6" w:space="0"/>
            </w:tcBorders>
            <w:vAlign w:val="center"/>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特定地点名称</w:t>
            </w:r>
          </w:p>
        </w:tc>
        <w:tc>
          <w:tcPr>
            <w:tcW w:w="0" w:type="auto"/>
            <w:vMerge w:val="restart"/>
            <w:tcBorders>
              <w:top w:val="single" w:color="auto" w:sz="12" w:space="0"/>
              <w:left w:val="outset" w:color="auto" w:sz="6" w:space="0"/>
              <w:bottom w:val="outset" w:color="auto" w:sz="6" w:space="0"/>
              <w:right w:val="outset" w:color="auto" w:sz="6" w:space="0"/>
            </w:tcBorders>
            <w:vAlign w:val="center"/>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厂内甲类</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生产车间</w:t>
            </w:r>
          </w:p>
        </w:tc>
        <w:tc>
          <w:tcPr>
            <w:tcW w:w="0" w:type="auto"/>
            <w:gridSpan w:val="3"/>
            <w:tcBorders>
              <w:top w:val="single" w:color="auto" w:sz="12" w:space="0"/>
              <w:left w:val="outset" w:color="auto" w:sz="6" w:space="0"/>
              <w:right w:val="outset" w:color="auto" w:sz="6" w:space="0"/>
            </w:tcBorders>
            <w:vAlign w:val="center"/>
          </w:tcPr>
          <w:p>
            <w:pPr>
              <w:adjustRightInd w:val="0"/>
              <w:snapToGrid w:val="0"/>
              <w:spacing w:line="360" w:lineRule="auto"/>
              <w:jc w:val="center"/>
              <w:rPr>
                <w:rFonts w:ascii="宋体" w:hAnsi="宋体" w:cs="宋体"/>
                <w:kern w:val="0"/>
                <w:szCs w:val="21"/>
              </w:rPr>
            </w:pPr>
            <w:r>
              <w:rPr>
                <w:rFonts w:hint="eastAsia" w:ascii="宋体" w:hAnsi="宋体" w:cs="宋体"/>
                <w:kern w:val="0"/>
                <w:szCs w:val="21"/>
              </w:rPr>
              <w:t>氧气设施的建、构筑物耐火等级</w:t>
            </w:r>
          </w:p>
        </w:tc>
        <w:tc>
          <w:tcPr>
            <w:tcW w:w="0" w:type="auto"/>
            <w:gridSpan w:val="3"/>
            <w:tcBorders>
              <w:top w:val="single" w:color="auto" w:sz="12" w:space="0"/>
              <w:left w:val="outset" w:color="auto" w:sz="6" w:space="0"/>
              <w:right w:val="outset" w:color="auto" w:sz="6" w:space="0"/>
            </w:tcBorders>
            <w:vAlign w:val="center"/>
          </w:tcPr>
          <w:p>
            <w:pPr>
              <w:adjustRightInd w:val="0"/>
              <w:snapToGrid w:val="0"/>
              <w:spacing w:line="360" w:lineRule="auto"/>
              <w:jc w:val="center"/>
              <w:rPr>
                <w:rFonts w:ascii="宋体" w:hAnsi="宋体" w:cs="宋体"/>
                <w:kern w:val="0"/>
                <w:szCs w:val="21"/>
              </w:rPr>
            </w:pPr>
            <w:r>
              <w:rPr>
                <w:rFonts w:hint="eastAsia" w:ascii="宋体" w:hAnsi="宋体" w:cs="宋体"/>
                <w:kern w:val="0"/>
                <w:szCs w:val="21"/>
              </w:rPr>
              <w:t>氧气（或液氧）储罐总容积，m</w:t>
            </w:r>
            <w:r>
              <w:rPr>
                <w:rFonts w:hint="eastAsia" w:ascii="宋体" w:hAnsi="宋体" w:cs="宋体"/>
                <w:kern w:val="0"/>
                <w:szCs w:val="21"/>
                <w:vertAlign w:val="superscript"/>
              </w:rPr>
              <w:t>3</w:t>
            </w:r>
          </w:p>
        </w:tc>
        <w:tc>
          <w:tcPr>
            <w:tcW w:w="0" w:type="auto"/>
            <w:tcBorders>
              <w:top w:val="single" w:color="auto" w:sz="12" w:space="0"/>
              <w:left w:val="outset" w:color="auto" w:sz="6" w:space="0"/>
              <w:bottom w:val="outset" w:color="auto" w:sz="6" w:space="0"/>
              <w:right w:val="single" w:color="auto" w:sz="12" w:space="0"/>
            </w:tcBorders>
            <w:vAlign w:val="center"/>
          </w:tcPr>
          <w:p>
            <w:pPr>
              <w:widowControl/>
              <w:adjustRightInd w:val="0"/>
              <w:snapToGrid w:val="0"/>
              <w:spacing w:line="360" w:lineRule="auto"/>
              <w:rPr>
                <w:rFonts w:ascii="宋体" w:hAnsi="宋体" w:cs="宋体"/>
                <w:kern w:val="0"/>
                <w:szCs w:val="21"/>
              </w:rPr>
            </w:pPr>
            <w:r>
              <w:rPr>
                <w:rFonts w:hint="eastAsia" w:ascii="宋体" w:hAnsi="宋体" w:cs="宋体"/>
                <w:kern w:val="0"/>
                <w:szCs w:val="21"/>
              </w:rPr>
              <w:t>氢气储罐总容积,m</w:t>
            </w:r>
            <w:r>
              <w:rPr>
                <w:rFonts w:hint="eastAsia" w:ascii="宋体" w:hAnsi="宋体" w:cs="宋体"/>
                <w:kern w:val="0"/>
                <w:szCs w:val="21"/>
                <w:vertAlign w:val="superscript"/>
              </w:rPr>
              <w:t>3</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30" w:type="dxa"/>
            <w:left w:w="30" w:type="dxa"/>
            <w:bottom w:w="30" w:type="dxa"/>
            <w:right w:w="30" w:type="dxa"/>
          </w:tblCellMar>
        </w:tblPrEx>
        <w:trPr>
          <w:trHeight w:val="223" w:hRule="atLeast"/>
          <w:tblCellSpacing w:w="0" w:type="dxa"/>
        </w:trPr>
        <w:tc>
          <w:tcPr>
            <w:tcW w:w="0" w:type="auto"/>
            <w:gridSpan w:val="3"/>
            <w:vMerge w:val="continue"/>
            <w:tcBorders>
              <w:top w:val="outset" w:color="auto" w:sz="6" w:space="0"/>
              <w:left w:val="single" w:color="auto" w:sz="12" w:space="0"/>
              <w:bottom w:val="outset" w:color="auto" w:sz="6" w:space="0"/>
              <w:right w:val="outset" w:color="auto" w:sz="6" w:space="0"/>
            </w:tcBorders>
            <w:vAlign w:val="center"/>
          </w:tcPr>
          <w:p/>
        </w:tc>
        <w:tc>
          <w:tcPr>
            <w:tcW w:w="0" w:type="auto"/>
            <w:vMerge w:val="continue"/>
            <w:tcBorders>
              <w:top w:val="outset" w:color="auto" w:sz="6" w:space="0"/>
              <w:left w:val="outset" w:color="auto" w:sz="6" w:space="0"/>
              <w:bottom w:val="outset" w:color="auto" w:sz="6" w:space="0"/>
              <w:right w:val="outset" w:color="auto" w:sz="6" w:space="0"/>
            </w:tcBorders>
            <w:vAlign w:val="center"/>
          </w:tcPr>
          <w:p/>
        </w:tc>
        <w:tc>
          <w:tcPr>
            <w:tcW w:w="0" w:type="auto"/>
            <w:tcBorders>
              <w:top w:val="outset" w:color="auto" w:sz="6" w:space="0"/>
              <w:left w:val="outset" w:color="auto" w:sz="6" w:space="0"/>
              <w:bottom w:val="outset" w:color="auto" w:sz="6" w:space="0"/>
              <w:right w:val="outset" w:color="auto" w:sz="6" w:space="0"/>
            </w:tcBorders>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一、二</w:t>
            </w:r>
          </w:p>
        </w:tc>
        <w:tc>
          <w:tcPr>
            <w:tcW w:w="0" w:type="auto"/>
            <w:tcBorders>
              <w:top w:val="outset" w:color="auto" w:sz="6" w:space="0"/>
              <w:left w:val="outset" w:color="auto" w:sz="6" w:space="0"/>
              <w:bottom w:val="outset" w:color="auto" w:sz="6" w:space="0"/>
              <w:right w:val="outset" w:color="auto" w:sz="6" w:space="0"/>
            </w:tcBorders>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三</w:t>
            </w:r>
          </w:p>
        </w:tc>
        <w:tc>
          <w:tcPr>
            <w:tcW w:w="0" w:type="auto"/>
            <w:tcBorders>
              <w:top w:val="outset" w:color="auto" w:sz="6" w:space="0"/>
              <w:left w:val="outset" w:color="auto" w:sz="6" w:space="0"/>
              <w:bottom w:val="outset" w:color="auto" w:sz="6" w:space="0"/>
              <w:right w:val="outset" w:color="auto" w:sz="6" w:space="0"/>
            </w:tcBorders>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四</w:t>
            </w:r>
          </w:p>
        </w:tc>
        <w:tc>
          <w:tcPr>
            <w:tcW w:w="0" w:type="auto"/>
            <w:tcBorders>
              <w:top w:val="outset" w:color="auto" w:sz="6" w:space="0"/>
              <w:left w:val="outset" w:color="auto" w:sz="6" w:space="0"/>
              <w:bottom w:val="outset" w:color="auto" w:sz="6" w:space="0"/>
              <w:right w:val="outset" w:color="auto" w:sz="6" w:space="0"/>
            </w:tcBorders>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≤1000</w:t>
            </w:r>
          </w:p>
        </w:tc>
        <w:tc>
          <w:tcPr>
            <w:tcW w:w="0" w:type="auto"/>
            <w:tcBorders>
              <w:top w:val="outset" w:color="auto" w:sz="6" w:space="0"/>
              <w:left w:val="outset" w:color="auto" w:sz="6" w:space="0"/>
              <w:bottom w:val="outset" w:color="auto" w:sz="6" w:space="0"/>
              <w:right w:val="outset" w:color="auto" w:sz="6" w:space="0"/>
            </w:tcBorders>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1001～50000</w:t>
            </w:r>
          </w:p>
        </w:tc>
        <w:tc>
          <w:tcPr>
            <w:tcW w:w="0" w:type="auto"/>
            <w:tcBorders>
              <w:top w:val="outset" w:color="auto" w:sz="6" w:space="0"/>
              <w:left w:val="outset" w:color="auto" w:sz="6" w:space="0"/>
              <w:bottom w:val="outset" w:color="auto" w:sz="6" w:space="0"/>
              <w:right w:val="outset" w:color="auto" w:sz="6" w:space="0"/>
            </w:tcBorders>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＞50000</w:t>
            </w:r>
          </w:p>
        </w:tc>
        <w:tc>
          <w:tcPr>
            <w:tcW w:w="0" w:type="auto"/>
            <w:tcBorders>
              <w:top w:val="outset" w:color="auto" w:sz="6" w:space="0"/>
              <w:left w:val="outset" w:color="auto" w:sz="6" w:space="0"/>
              <w:bottom w:val="outset" w:color="auto" w:sz="6" w:space="0"/>
              <w:right w:val="single" w:color="auto" w:sz="12" w:space="0"/>
            </w:tcBorders>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≤1000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30" w:type="dxa"/>
            <w:left w:w="30" w:type="dxa"/>
            <w:bottom w:w="30" w:type="dxa"/>
            <w:right w:w="30" w:type="dxa"/>
          </w:tblCellMar>
        </w:tblPrEx>
        <w:trPr>
          <w:trHeight w:val="420" w:hRule="atLeast"/>
          <w:tblCellSpacing w:w="0" w:type="dxa"/>
        </w:trPr>
        <w:tc>
          <w:tcPr>
            <w:tcW w:w="0" w:type="auto"/>
            <w:gridSpan w:val="3"/>
            <w:tcBorders>
              <w:top w:val="outset" w:color="auto" w:sz="6" w:space="0"/>
              <w:left w:val="single" w:color="auto" w:sz="12" w:space="0"/>
              <w:bottom w:val="outset" w:color="auto" w:sz="6" w:space="0"/>
              <w:right w:val="outset" w:color="auto" w:sz="6" w:space="0"/>
            </w:tcBorders>
            <w:vAlign w:val="center"/>
          </w:tcPr>
          <w:p>
            <w:pPr>
              <w:adjustRightInd w:val="0"/>
              <w:snapToGrid w:val="0"/>
              <w:spacing w:line="360" w:lineRule="auto"/>
              <w:jc w:val="left"/>
              <w:rPr>
                <w:rFonts w:ascii="宋体" w:hAnsi="宋体" w:cs="宋体"/>
                <w:kern w:val="0"/>
                <w:szCs w:val="21"/>
              </w:rPr>
            </w:pPr>
            <w:r>
              <w:rPr>
                <w:rFonts w:hint="eastAsia" w:ascii="宋体" w:hAnsi="宋体" w:cs="宋体"/>
                <w:kern w:val="0"/>
                <w:szCs w:val="21"/>
              </w:rPr>
              <w:t>企业外一般机车铁路（中心线）</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ascii="宋体" w:hAnsi="宋体" w:cs="宋体"/>
                <w:kern w:val="0"/>
                <w:szCs w:val="21"/>
              </w:rPr>
            </w:pPr>
            <w:r>
              <w:rPr>
                <w:rFonts w:hint="eastAsia" w:ascii="宋体" w:hAnsi="宋体" w:cs="宋体"/>
                <w:kern w:val="0"/>
                <w:szCs w:val="21"/>
              </w:rPr>
              <w:t>30</w:t>
            </w:r>
          </w:p>
        </w:tc>
        <w:tc>
          <w:tcPr>
            <w:tcW w:w="0" w:type="auto"/>
            <w:gridSpan w:val="3"/>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ascii="宋体" w:hAnsi="宋体" w:cs="宋体"/>
                <w:kern w:val="0"/>
                <w:szCs w:val="21"/>
              </w:rPr>
            </w:pPr>
            <w:r>
              <w:rPr>
                <w:rFonts w:hint="eastAsia" w:ascii="宋体" w:hAnsi="宋体" w:cs="宋体"/>
                <w:kern w:val="0"/>
                <w:szCs w:val="21"/>
              </w:rPr>
              <w:t>25</w:t>
            </w:r>
          </w:p>
        </w:tc>
        <w:tc>
          <w:tcPr>
            <w:tcW w:w="0" w:type="auto"/>
            <w:gridSpan w:val="3"/>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ascii="宋体" w:hAnsi="宋体" w:cs="宋体"/>
                <w:kern w:val="0"/>
                <w:szCs w:val="21"/>
              </w:rPr>
            </w:pPr>
            <w:r>
              <w:rPr>
                <w:rFonts w:hint="eastAsia" w:ascii="宋体" w:hAnsi="宋体" w:cs="宋体"/>
                <w:kern w:val="0"/>
                <w:szCs w:val="21"/>
              </w:rPr>
              <w:t>25</w:t>
            </w:r>
          </w:p>
        </w:tc>
        <w:tc>
          <w:tcPr>
            <w:tcW w:w="0" w:type="auto"/>
            <w:tcBorders>
              <w:top w:val="outset" w:color="auto" w:sz="6" w:space="0"/>
              <w:left w:val="outset" w:color="auto" w:sz="6" w:space="0"/>
              <w:bottom w:val="outset" w:color="auto" w:sz="6" w:space="0"/>
              <w:right w:val="single" w:color="auto" w:sz="12" w:space="0"/>
            </w:tcBorders>
            <w:vAlign w:val="center"/>
          </w:tcPr>
          <w:p>
            <w:pPr>
              <w:adjustRightInd w:val="0"/>
              <w:snapToGrid w:val="0"/>
              <w:spacing w:line="360" w:lineRule="auto"/>
              <w:jc w:val="center"/>
              <w:rPr>
                <w:rFonts w:ascii="宋体" w:hAnsi="宋体" w:cs="宋体"/>
                <w:kern w:val="0"/>
                <w:szCs w:val="21"/>
              </w:rPr>
            </w:pPr>
            <w:r>
              <w:rPr>
                <w:rFonts w:hint="eastAsia" w:ascii="宋体" w:hAnsi="宋体" w:cs="宋体"/>
                <w:kern w:val="0"/>
                <w:szCs w:val="21"/>
              </w:rPr>
              <w:t>25</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30" w:type="dxa"/>
            <w:left w:w="30" w:type="dxa"/>
            <w:bottom w:w="30" w:type="dxa"/>
            <w:right w:w="30" w:type="dxa"/>
          </w:tblCellMar>
        </w:tblPrEx>
        <w:trPr>
          <w:trHeight w:val="360" w:hRule="atLeast"/>
          <w:tblCellSpacing w:w="0" w:type="dxa"/>
        </w:trPr>
        <w:tc>
          <w:tcPr>
            <w:tcW w:w="0" w:type="auto"/>
            <w:gridSpan w:val="3"/>
            <w:tcBorders>
              <w:top w:val="outset" w:color="auto" w:sz="6" w:space="0"/>
              <w:left w:val="single" w:color="auto" w:sz="12" w:space="0"/>
              <w:bottom w:val="outset" w:color="auto" w:sz="6" w:space="0"/>
              <w:right w:val="outset" w:color="auto" w:sz="6" w:space="0"/>
            </w:tcBorders>
            <w:vAlign w:val="center"/>
          </w:tcPr>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企业外电气机车铁路（中心线）</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20</w:t>
            </w:r>
          </w:p>
        </w:tc>
        <w:tc>
          <w:tcPr>
            <w:tcW w:w="0" w:type="auto"/>
            <w:gridSpan w:val="3"/>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20</w:t>
            </w:r>
          </w:p>
        </w:tc>
        <w:tc>
          <w:tcPr>
            <w:tcW w:w="0" w:type="auto"/>
            <w:gridSpan w:val="3"/>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20</w:t>
            </w:r>
          </w:p>
        </w:tc>
        <w:tc>
          <w:tcPr>
            <w:tcW w:w="0" w:type="auto"/>
            <w:tcBorders>
              <w:top w:val="outset" w:color="auto" w:sz="6" w:space="0"/>
              <w:left w:val="outset" w:color="auto" w:sz="6" w:space="0"/>
              <w:bottom w:val="outset" w:color="auto" w:sz="6" w:space="0"/>
              <w:right w:val="single" w:color="auto" w:sz="12"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20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30" w:type="dxa"/>
            <w:left w:w="30" w:type="dxa"/>
            <w:bottom w:w="30" w:type="dxa"/>
            <w:right w:w="30" w:type="dxa"/>
          </w:tblCellMar>
        </w:tblPrEx>
        <w:trPr>
          <w:trHeight w:val="330" w:hRule="atLeast"/>
          <w:tblCellSpacing w:w="0" w:type="dxa"/>
        </w:trPr>
        <w:tc>
          <w:tcPr>
            <w:tcW w:w="0" w:type="auto"/>
            <w:gridSpan w:val="3"/>
            <w:tcBorders>
              <w:top w:val="outset" w:color="auto" w:sz="6" w:space="0"/>
              <w:left w:val="single" w:color="auto" w:sz="12" w:space="0"/>
              <w:bottom w:val="outset" w:color="auto" w:sz="6" w:space="0"/>
              <w:right w:val="outset" w:color="auto" w:sz="6" w:space="0"/>
            </w:tcBorders>
            <w:vAlign w:val="center"/>
          </w:tcPr>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企业内一般机车铁路（中心线）</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20</w:t>
            </w:r>
          </w:p>
        </w:tc>
        <w:tc>
          <w:tcPr>
            <w:tcW w:w="0" w:type="auto"/>
            <w:gridSpan w:val="3"/>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20</w:t>
            </w:r>
          </w:p>
        </w:tc>
        <w:tc>
          <w:tcPr>
            <w:tcW w:w="0" w:type="auto"/>
            <w:gridSpan w:val="3"/>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20</w:t>
            </w:r>
          </w:p>
        </w:tc>
        <w:tc>
          <w:tcPr>
            <w:tcW w:w="0" w:type="auto"/>
            <w:tcBorders>
              <w:top w:val="outset" w:color="auto" w:sz="6" w:space="0"/>
              <w:left w:val="outset" w:color="auto" w:sz="6" w:space="0"/>
              <w:bottom w:val="outset" w:color="auto" w:sz="6" w:space="0"/>
              <w:right w:val="single" w:color="auto" w:sz="12"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20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30" w:type="dxa"/>
            <w:left w:w="30" w:type="dxa"/>
            <w:bottom w:w="30" w:type="dxa"/>
            <w:right w:w="30" w:type="dxa"/>
          </w:tblCellMar>
        </w:tblPrEx>
        <w:trPr>
          <w:trHeight w:val="465" w:hRule="atLeast"/>
          <w:tblCellSpacing w:w="0" w:type="dxa"/>
        </w:trPr>
        <w:tc>
          <w:tcPr>
            <w:tcW w:w="0" w:type="auto"/>
            <w:gridSpan w:val="3"/>
            <w:tcBorders>
              <w:top w:val="outset" w:color="auto" w:sz="6" w:space="0"/>
              <w:left w:val="single" w:color="auto" w:sz="12" w:space="0"/>
              <w:bottom w:val="outset" w:color="auto" w:sz="6" w:space="0"/>
              <w:right w:val="outset" w:color="auto" w:sz="6" w:space="0"/>
            </w:tcBorders>
            <w:vAlign w:val="center"/>
          </w:tcPr>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企业内电气机车铁路（中心线）</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20</w:t>
            </w:r>
          </w:p>
        </w:tc>
        <w:tc>
          <w:tcPr>
            <w:tcW w:w="0" w:type="auto"/>
            <w:gridSpan w:val="3"/>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15</w:t>
            </w:r>
          </w:p>
        </w:tc>
        <w:tc>
          <w:tcPr>
            <w:tcW w:w="0" w:type="auto"/>
            <w:gridSpan w:val="3"/>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15</w:t>
            </w:r>
          </w:p>
        </w:tc>
        <w:tc>
          <w:tcPr>
            <w:tcW w:w="0" w:type="auto"/>
            <w:tcBorders>
              <w:top w:val="outset" w:color="auto" w:sz="6" w:space="0"/>
              <w:left w:val="outset" w:color="auto" w:sz="6" w:space="0"/>
              <w:bottom w:val="outset" w:color="auto" w:sz="6" w:space="0"/>
              <w:right w:val="single" w:color="auto" w:sz="12"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15</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30" w:type="dxa"/>
            <w:left w:w="30" w:type="dxa"/>
            <w:bottom w:w="30" w:type="dxa"/>
            <w:right w:w="30" w:type="dxa"/>
          </w:tblCellMar>
        </w:tblPrEx>
        <w:trPr>
          <w:trHeight w:val="375" w:hRule="atLeast"/>
          <w:tblCellSpacing w:w="0" w:type="dxa"/>
        </w:trPr>
        <w:tc>
          <w:tcPr>
            <w:tcW w:w="0" w:type="auto"/>
            <w:gridSpan w:val="3"/>
            <w:tcBorders>
              <w:top w:val="outset" w:color="auto" w:sz="6" w:space="0"/>
              <w:left w:val="single" w:color="auto" w:sz="12" w:space="0"/>
              <w:bottom w:val="outset" w:color="auto" w:sz="6" w:space="0"/>
              <w:right w:val="outset" w:color="auto" w:sz="6" w:space="0"/>
            </w:tcBorders>
            <w:vAlign w:val="center"/>
          </w:tcPr>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企业外道路（路边）</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15</w:t>
            </w:r>
          </w:p>
        </w:tc>
        <w:tc>
          <w:tcPr>
            <w:tcW w:w="0" w:type="auto"/>
            <w:gridSpan w:val="3"/>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15</w:t>
            </w:r>
          </w:p>
        </w:tc>
        <w:tc>
          <w:tcPr>
            <w:tcW w:w="0" w:type="auto"/>
            <w:gridSpan w:val="3"/>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15</w:t>
            </w:r>
          </w:p>
        </w:tc>
        <w:tc>
          <w:tcPr>
            <w:tcW w:w="0" w:type="auto"/>
            <w:tcBorders>
              <w:top w:val="outset" w:color="auto" w:sz="6" w:space="0"/>
              <w:left w:val="outset" w:color="auto" w:sz="6" w:space="0"/>
              <w:bottom w:val="outset" w:color="auto" w:sz="6" w:space="0"/>
              <w:right w:val="single" w:color="auto" w:sz="12"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15</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30" w:type="dxa"/>
            <w:left w:w="30" w:type="dxa"/>
            <w:bottom w:w="30" w:type="dxa"/>
            <w:right w:w="30" w:type="dxa"/>
          </w:tblCellMar>
        </w:tblPrEx>
        <w:trPr>
          <w:trHeight w:val="510" w:hRule="atLeast"/>
          <w:tblCellSpacing w:w="0" w:type="dxa"/>
        </w:trPr>
        <w:tc>
          <w:tcPr>
            <w:tcW w:w="0" w:type="auto"/>
            <w:gridSpan w:val="3"/>
            <w:tcBorders>
              <w:top w:val="outset" w:color="auto" w:sz="6" w:space="0"/>
              <w:left w:val="single" w:color="auto" w:sz="12" w:space="0"/>
              <w:bottom w:val="outset" w:color="auto" w:sz="6" w:space="0"/>
              <w:right w:val="outset" w:color="auto" w:sz="6" w:space="0"/>
            </w:tcBorders>
            <w:vAlign w:val="center"/>
          </w:tcPr>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企业内主要道路（路边）</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10</w:t>
            </w:r>
          </w:p>
        </w:tc>
        <w:tc>
          <w:tcPr>
            <w:tcW w:w="0" w:type="auto"/>
            <w:gridSpan w:val="3"/>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10</w:t>
            </w:r>
          </w:p>
        </w:tc>
        <w:tc>
          <w:tcPr>
            <w:tcW w:w="0" w:type="auto"/>
            <w:gridSpan w:val="3"/>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10</w:t>
            </w:r>
          </w:p>
        </w:tc>
        <w:tc>
          <w:tcPr>
            <w:tcW w:w="0" w:type="auto"/>
            <w:tcBorders>
              <w:top w:val="outset" w:color="auto" w:sz="6" w:space="0"/>
              <w:left w:val="outset" w:color="auto" w:sz="6" w:space="0"/>
              <w:bottom w:val="outset" w:color="auto" w:sz="6" w:space="0"/>
              <w:right w:val="single" w:color="auto" w:sz="12"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30" w:type="dxa"/>
            <w:left w:w="30" w:type="dxa"/>
            <w:bottom w:w="30" w:type="dxa"/>
            <w:right w:w="30" w:type="dxa"/>
          </w:tblCellMar>
        </w:tblPrEx>
        <w:trPr>
          <w:trHeight w:val="615" w:hRule="atLeast"/>
          <w:tblCellSpacing w:w="0" w:type="dxa"/>
        </w:trPr>
        <w:tc>
          <w:tcPr>
            <w:tcW w:w="0" w:type="auto"/>
            <w:gridSpan w:val="3"/>
            <w:tcBorders>
              <w:top w:val="outset" w:color="auto" w:sz="6" w:space="0"/>
              <w:left w:val="single" w:color="auto" w:sz="12" w:space="0"/>
              <w:bottom w:val="outset" w:color="auto" w:sz="6" w:space="0"/>
              <w:right w:val="outset" w:color="auto" w:sz="6" w:space="0"/>
            </w:tcBorders>
            <w:vAlign w:val="center"/>
          </w:tcPr>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企业内次要道路（路边）</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5</w:t>
            </w:r>
          </w:p>
        </w:tc>
        <w:tc>
          <w:tcPr>
            <w:tcW w:w="0" w:type="auto"/>
            <w:gridSpan w:val="3"/>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5</w:t>
            </w:r>
          </w:p>
        </w:tc>
        <w:tc>
          <w:tcPr>
            <w:tcW w:w="0" w:type="auto"/>
            <w:gridSpan w:val="3"/>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5</w:t>
            </w:r>
          </w:p>
        </w:tc>
        <w:tc>
          <w:tcPr>
            <w:tcW w:w="0" w:type="auto"/>
            <w:tcBorders>
              <w:top w:val="outset" w:color="auto" w:sz="6" w:space="0"/>
              <w:left w:val="outset" w:color="auto" w:sz="6" w:space="0"/>
              <w:bottom w:val="outset" w:color="auto" w:sz="6" w:space="0"/>
              <w:right w:val="single" w:color="auto" w:sz="12"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5</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rPr>
          <w:tblCellSpacing w:w="0" w:type="dxa"/>
        </w:trPr>
        <w:tc>
          <w:tcPr>
            <w:tcW w:w="0" w:type="auto"/>
            <w:gridSpan w:val="3"/>
            <w:tcBorders>
              <w:top w:val="outset" w:color="auto" w:sz="6" w:space="0"/>
              <w:left w:val="single" w:color="auto" w:sz="12" w:space="0"/>
              <w:bottom w:val="outset" w:color="auto" w:sz="6" w:space="0"/>
              <w:right w:val="outset" w:color="auto" w:sz="6" w:space="0"/>
            </w:tcBorders>
            <w:vAlign w:val="center"/>
          </w:tcPr>
          <w:p>
            <w:pPr>
              <w:widowControl/>
              <w:adjustRightInd w:val="0"/>
              <w:snapToGrid w:val="0"/>
              <w:spacing w:line="360" w:lineRule="auto"/>
              <w:jc w:val="left"/>
              <w:rPr>
                <w:rFonts w:ascii="宋体" w:hAnsi="宋体" w:cs="宋体"/>
                <w:kern w:val="0"/>
                <w:szCs w:val="21"/>
              </w:rPr>
            </w:pPr>
            <w:r>
              <w:rPr>
                <w:rFonts w:hint="eastAsia" w:ascii="宋体" w:hAnsi="宋体" w:cs="宋体"/>
                <w:kern w:val="0"/>
                <w:szCs w:val="21"/>
              </w:rPr>
              <w:t>架空电力线</w:t>
            </w:r>
          </w:p>
        </w:tc>
        <w:tc>
          <w:tcPr>
            <w:tcW w:w="0" w:type="auto"/>
            <w:tcBorders>
              <w:top w:val="outset" w:color="auto" w:sz="6" w:space="0"/>
              <w:left w:val="outset" w:color="auto" w:sz="6" w:space="0"/>
              <w:bottom w:val="outset" w:color="auto" w:sz="6" w:space="0"/>
              <w:right w:val="outset" w:color="auto" w:sz="6" w:space="0"/>
            </w:tcBorders>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≥1.5倍电杆高</w:t>
            </w:r>
          </w:p>
        </w:tc>
        <w:tc>
          <w:tcPr>
            <w:tcW w:w="0" w:type="auto"/>
            <w:gridSpan w:val="3"/>
            <w:tcBorders>
              <w:top w:val="outset" w:color="auto" w:sz="6" w:space="0"/>
              <w:left w:val="outset" w:color="auto" w:sz="6" w:space="0"/>
              <w:bottom w:val="outset" w:color="auto" w:sz="6" w:space="0"/>
              <w:right w:val="outset" w:color="auto" w:sz="6" w:space="0"/>
            </w:tcBorders>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1.5倍电杆高</w:t>
            </w:r>
            <w:r>
              <w:rPr>
                <w:rFonts w:hint="eastAsia" w:ascii="宋体" w:hAnsi="宋体" w:cs="宋体"/>
                <w:kern w:val="0"/>
                <w:szCs w:val="21"/>
                <w:vertAlign w:val="superscript"/>
              </w:rPr>
              <w:t>1)</w:t>
            </w:r>
          </w:p>
        </w:tc>
        <w:tc>
          <w:tcPr>
            <w:tcW w:w="0" w:type="auto"/>
            <w:gridSpan w:val="3"/>
            <w:tcBorders>
              <w:top w:val="outset" w:color="auto" w:sz="6" w:space="0"/>
              <w:left w:val="outset" w:color="auto" w:sz="6" w:space="0"/>
              <w:bottom w:val="outset" w:color="auto" w:sz="6" w:space="0"/>
              <w:right w:val="outset" w:color="auto" w:sz="6" w:space="0"/>
            </w:tcBorders>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≥1.5倍电杆高</w:t>
            </w:r>
          </w:p>
        </w:tc>
        <w:tc>
          <w:tcPr>
            <w:tcW w:w="0" w:type="auto"/>
            <w:tcBorders>
              <w:top w:val="outset" w:color="auto" w:sz="6" w:space="0"/>
              <w:left w:val="outset" w:color="auto" w:sz="6" w:space="0"/>
              <w:bottom w:val="outset" w:color="auto" w:sz="6" w:space="0"/>
              <w:right w:val="single" w:color="auto" w:sz="12" w:space="0"/>
            </w:tcBorders>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≥1.5倍电杆高</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30" w:type="dxa"/>
            <w:left w:w="30" w:type="dxa"/>
            <w:bottom w:w="30" w:type="dxa"/>
            <w:right w:w="30" w:type="dxa"/>
          </w:tblCellMar>
        </w:tblPrEx>
        <w:trPr>
          <w:tblCellSpacing w:w="0" w:type="dxa"/>
        </w:trPr>
        <w:tc>
          <w:tcPr>
            <w:tcW w:w="0" w:type="auto"/>
            <w:gridSpan w:val="3"/>
            <w:tcBorders>
              <w:top w:val="outset" w:color="auto" w:sz="6" w:space="0"/>
              <w:left w:val="single" w:color="auto" w:sz="12" w:space="0"/>
              <w:bottom w:val="outset" w:color="auto" w:sz="6" w:space="0"/>
              <w:right w:val="outset" w:color="auto" w:sz="6" w:space="0"/>
            </w:tcBorders>
            <w:vAlign w:val="center"/>
          </w:tcPr>
          <w:p>
            <w:pPr>
              <w:widowControl/>
              <w:adjustRightInd w:val="0"/>
              <w:snapToGrid w:val="0"/>
              <w:spacing w:line="360" w:lineRule="auto"/>
              <w:jc w:val="left"/>
              <w:rPr>
                <w:rFonts w:ascii="宋体" w:hAnsi="宋体" w:cs="宋体"/>
                <w:kern w:val="0"/>
                <w:szCs w:val="21"/>
              </w:rPr>
            </w:pPr>
            <w:r>
              <w:rPr>
                <w:rFonts w:hint="eastAsia" w:ascii="宋体" w:hAnsi="宋体" w:cs="宋体"/>
                <w:kern w:val="0"/>
                <w:szCs w:val="21"/>
              </w:rPr>
              <w:t>室外变配电站</w:t>
            </w:r>
          </w:p>
        </w:tc>
        <w:tc>
          <w:tcPr>
            <w:tcW w:w="0" w:type="auto"/>
            <w:tcBorders>
              <w:top w:val="outset" w:color="auto" w:sz="6" w:space="0"/>
              <w:left w:val="outset" w:color="auto" w:sz="6" w:space="0"/>
              <w:bottom w:val="outset" w:color="auto" w:sz="6" w:space="0"/>
              <w:right w:val="outset" w:color="auto" w:sz="6" w:space="0"/>
            </w:tcBorders>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25</w:t>
            </w:r>
          </w:p>
        </w:tc>
        <w:tc>
          <w:tcPr>
            <w:tcW w:w="0" w:type="auto"/>
            <w:gridSpan w:val="3"/>
            <w:tcBorders>
              <w:top w:val="outset" w:color="auto" w:sz="6" w:space="0"/>
              <w:left w:val="outset" w:color="auto" w:sz="6" w:space="0"/>
              <w:bottom w:val="outset" w:color="auto" w:sz="6" w:space="0"/>
              <w:right w:val="outset" w:color="auto" w:sz="6" w:space="0"/>
            </w:tcBorders>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25</w:t>
            </w:r>
          </w:p>
        </w:tc>
        <w:tc>
          <w:tcPr>
            <w:tcW w:w="0" w:type="auto"/>
            <w:tcBorders>
              <w:top w:val="outset" w:color="auto" w:sz="6" w:space="0"/>
              <w:left w:val="outset" w:color="auto" w:sz="6" w:space="0"/>
              <w:bottom w:val="outset" w:color="auto" w:sz="6" w:space="0"/>
              <w:right w:val="outset" w:color="auto" w:sz="6" w:space="0"/>
            </w:tcBorders>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20</w:t>
            </w:r>
          </w:p>
        </w:tc>
        <w:tc>
          <w:tcPr>
            <w:tcW w:w="0" w:type="auto"/>
            <w:tcBorders>
              <w:top w:val="outset" w:color="auto" w:sz="6" w:space="0"/>
              <w:left w:val="outset" w:color="auto" w:sz="6" w:space="0"/>
              <w:bottom w:val="outset" w:color="auto" w:sz="6" w:space="0"/>
              <w:right w:val="outset" w:color="auto" w:sz="6" w:space="0"/>
            </w:tcBorders>
            <w:vAlign w:val="center"/>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25</w:t>
            </w:r>
          </w:p>
        </w:tc>
        <w:tc>
          <w:tcPr>
            <w:tcW w:w="0" w:type="auto"/>
            <w:tcBorders>
              <w:top w:val="outset" w:color="auto" w:sz="6" w:space="0"/>
              <w:left w:val="outset" w:color="auto" w:sz="6" w:space="0"/>
              <w:bottom w:val="outset" w:color="auto" w:sz="6" w:space="0"/>
              <w:right w:val="outset" w:color="auto" w:sz="6" w:space="0"/>
            </w:tcBorders>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30</w:t>
            </w:r>
          </w:p>
        </w:tc>
        <w:tc>
          <w:tcPr>
            <w:tcW w:w="0" w:type="auto"/>
            <w:tcBorders>
              <w:top w:val="outset" w:color="auto" w:sz="6" w:space="0"/>
              <w:left w:val="outset" w:color="auto" w:sz="6" w:space="0"/>
              <w:bottom w:val="outset" w:color="auto" w:sz="6" w:space="0"/>
              <w:right w:val="single" w:color="auto" w:sz="12" w:space="0"/>
            </w:tcBorders>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20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30" w:type="dxa"/>
            <w:left w:w="30" w:type="dxa"/>
            <w:bottom w:w="30" w:type="dxa"/>
            <w:right w:w="30" w:type="dxa"/>
          </w:tblCellMar>
        </w:tblPrEx>
        <w:trPr>
          <w:trHeight w:val="405" w:hRule="atLeast"/>
          <w:tblCellSpacing w:w="0" w:type="dxa"/>
        </w:trPr>
        <w:tc>
          <w:tcPr>
            <w:tcW w:w="0" w:type="auto"/>
            <w:gridSpan w:val="3"/>
            <w:tcBorders>
              <w:top w:val="outset" w:color="auto" w:sz="6" w:space="0"/>
              <w:left w:val="single" w:color="auto" w:sz="12" w:space="0"/>
              <w:bottom w:val="outset" w:color="auto" w:sz="6" w:space="0"/>
              <w:right w:val="outset" w:color="auto" w:sz="6" w:space="0"/>
            </w:tcBorders>
            <w:vAlign w:val="center"/>
          </w:tcPr>
          <w:p>
            <w:pPr>
              <w:adjustRightInd w:val="0"/>
              <w:snapToGrid w:val="0"/>
              <w:spacing w:line="360" w:lineRule="auto"/>
              <w:jc w:val="left"/>
              <w:rPr>
                <w:rFonts w:ascii="宋体" w:hAnsi="宋体" w:cs="宋体"/>
                <w:kern w:val="0"/>
                <w:szCs w:val="21"/>
              </w:rPr>
            </w:pPr>
            <w:r>
              <w:rPr>
                <w:rFonts w:hint="eastAsia" w:ascii="宋体" w:hAnsi="宋体" w:cs="宋体"/>
                <w:kern w:val="0"/>
                <w:szCs w:val="21"/>
              </w:rPr>
              <w:t>明火或散发火花地点</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ascii="宋体" w:hAnsi="宋体" w:cs="宋体"/>
                <w:kern w:val="0"/>
                <w:szCs w:val="21"/>
              </w:rPr>
            </w:pPr>
            <w:r>
              <w:rPr>
                <w:rFonts w:hint="eastAsia" w:ascii="宋体" w:hAnsi="宋体" w:cs="宋体"/>
                <w:kern w:val="0"/>
                <w:szCs w:val="21"/>
              </w:rPr>
              <w:t>30</w:t>
            </w:r>
          </w:p>
        </w:tc>
        <w:tc>
          <w:tcPr>
            <w:tcW w:w="0" w:type="auto"/>
            <w:gridSpan w:val="3"/>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ascii="宋体" w:hAnsi="宋体" w:cs="宋体"/>
                <w:kern w:val="0"/>
                <w:szCs w:val="21"/>
              </w:rPr>
            </w:pPr>
            <w:r>
              <w:rPr>
                <w:rFonts w:hint="eastAsia" w:ascii="宋体" w:hAnsi="宋体" w:cs="宋体"/>
                <w:kern w:val="0"/>
                <w:szCs w:val="21"/>
              </w:rPr>
              <w:t>25</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20</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30</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35</w:t>
            </w:r>
          </w:p>
        </w:tc>
        <w:tc>
          <w:tcPr>
            <w:tcW w:w="0" w:type="auto"/>
            <w:tcBorders>
              <w:top w:val="outset" w:color="auto" w:sz="6" w:space="0"/>
              <w:left w:val="outset" w:color="auto" w:sz="6" w:space="0"/>
              <w:bottom w:val="outset" w:color="auto" w:sz="6" w:space="0"/>
              <w:right w:val="single" w:color="auto" w:sz="12" w:space="0"/>
            </w:tcBorders>
            <w:vAlign w:val="center"/>
          </w:tcPr>
          <w:p>
            <w:pPr>
              <w:adjustRightInd w:val="0"/>
              <w:snapToGrid w:val="0"/>
              <w:spacing w:line="360" w:lineRule="auto"/>
              <w:jc w:val="center"/>
              <w:rPr>
                <w:rFonts w:ascii="宋体" w:hAnsi="宋体" w:cs="宋体"/>
                <w:kern w:val="0"/>
                <w:szCs w:val="21"/>
              </w:rPr>
            </w:pPr>
            <w:r>
              <w:rPr>
                <w:rFonts w:hint="eastAsia" w:ascii="宋体" w:hAnsi="宋体" w:cs="宋体"/>
                <w:kern w:val="0"/>
                <w:szCs w:val="21"/>
              </w:rPr>
              <w:t>20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30" w:type="dxa"/>
            <w:left w:w="30" w:type="dxa"/>
            <w:bottom w:w="30" w:type="dxa"/>
            <w:right w:w="30" w:type="dxa"/>
          </w:tblCellMar>
        </w:tblPrEx>
        <w:trPr>
          <w:trHeight w:val="405" w:hRule="atLeast"/>
          <w:tblCellSpacing w:w="0" w:type="dxa"/>
        </w:trPr>
        <w:tc>
          <w:tcPr>
            <w:tcW w:w="0" w:type="auto"/>
            <w:gridSpan w:val="3"/>
            <w:tcBorders>
              <w:top w:val="outset" w:color="auto" w:sz="6" w:space="0"/>
              <w:left w:val="single" w:color="auto" w:sz="12" w:space="0"/>
              <w:bottom w:val="outset" w:color="auto" w:sz="6" w:space="0"/>
              <w:right w:val="outset" w:color="auto" w:sz="6" w:space="0"/>
            </w:tcBorders>
            <w:vAlign w:val="center"/>
          </w:tcPr>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民用建筑</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25</w:t>
            </w:r>
          </w:p>
        </w:tc>
        <w:tc>
          <w:tcPr>
            <w:tcW w:w="0" w:type="auto"/>
            <w:gridSpan w:val="3"/>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25</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18</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20</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25</w:t>
            </w:r>
          </w:p>
        </w:tc>
        <w:tc>
          <w:tcPr>
            <w:tcW w:w="0" w:type="auto"/>
            <w:tcBorders>
              <w:top w:val="outset" w:color="auto" w:sz="6" w:space="0"/>
              <w:left w:val="outset" w:color="auto" w:sz="6" w:space="0"/>
              <w:bottom w:val="outset" w:color="auto" w:sz="6" w:space="0"/>
              <w:right w:val="single" w:color="auto" w:sz="12"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18</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30" w:type="dxa"/>
            <w:left w:w="30" w:type="dxa"/>
            <w:bottom w:w="30" w:type="dxa"/>
            <w:right w:w="30" w:type="dxa"/>
          </w:tblCellMar>
        </w:tblPrEx>
        <w:trPr>
          <w:tblCellSpacing w:w="0" w:type="dxa"/>
        </w:trPr>
        <w:tc>
          <w:tcPr>
            <w:tcW w:w="0" w:type="auto"/>
            <w:gridSpan w:val="3"/>
            <w:tcBorders>
              <w:top w:val="outset" w:color="auto" w:sz="6" w:space="0"/>
              <w:left w:val="single" w:color="auto" w:sz="12" w:space="0"/>
              <w:bottom w:val="outset" w:color="auto" w:sz="6" w:space="0"/>
              <w:right w:val="outset" w:color="auto" w:sz="6" w:space="0"/>
            </w:tcBorders>
            <w:vAlign w:val="center"/>
          </w:tcPr>
          <w:p>
            <w:pPr>
              <w:widowControl/>
              <w:adjustRightInd w:val="0"/>
              <w:snapToGrid w:val="0"/>
              <w:spacing w:line="360" w:lineRule="auto"/>
              <w:jc w:val="left"/>
              <w:rPr>
                <w:rFonts w:ascii="宋体" w:hAnsi="宋体" w:cs="宋体"/>
                <w:kern w:val="0"/>
                <w:szCs w:val="21"/>
              </w:rPr>
            </w:pPr>
            <w:r>
              <w:rPr>
                <w:rFonts w:hint="eastAsia" w:ascii="宋体" w:hAnsi="宋体" w:cs="宋体"/>
                <w:kern w:val="0"/>
                <w:szCs w:val="21"/>
              </w:rPr>
              <w:t>重要的公用建筑</w:t>
            </w:r>
          </w:p>
        </w:tc>
        <w:tc>
          <w:tcPr>
            <w:tcW w:w="0" w:type="auto"/>
            <w:tcBorders>
              <w:top w:val="outset" w:color="auto" w:sz="6" w:space="0"/>
              <w:left w:val="outset" w:color="auto" w:sz="6" w:space="0"/>
              <w:bottom w:val="outset" w:color="auto" w:sz="6" w:space="0"/>
              <w:right w:val="outset" w:color="auto" w:sz="6" w:space="0"/>
            </w:tcBorders>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50</w:t>
            </w:r>
          </w:p>
        </w:tc>
        <w:tc>
          <w:tcPr>
            <w:tcW w:w="0" w:type="auto"/>
            <w:gridSpan w:val="3"/>
            <w:tcBorders>
              <w:top w:val="outset" w:color="auto" w:sz="6" w:space="0"/>
              <w:left w:val="outset" w:color="auto" w:sz="6" w:space="0"/>
              <w:bottom w:val="outset" w:color="auto" w:sz="6" w:space="0"/>
              <w:right w:val="outset" w:color="auto" w:sz="6" w:space="0"/>
            </w:tcBorders>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50</w:t>
            </w:r>
          </w:p>
        </w:tc>
        <w:tc>
          <w:tcPr>
            <w:tcW w:w="0" w:type="auto"/>
            <w:gridSpan w:val="3"/>
            <w:tcBorders>
              <w:top w:val="outset" w:color="auto" w:sz="6" w:space="0"/>
              <w:left w:val="outset" w:color="auto" w:sz="6" w:space="0"/>
              <w:bottom w:val="outset" w:color="auto" w:sz="6" w:space="0"/>
              <w:right w:val="outset" w:color="auto" w:sz="6" w:space="0"/>
            </w:tcBorders>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50</w:t>
            </w:r>
          </w:p>
        </w:tc>
        <w:tc>
          <w:tcPr>
            <w:tcW w:w="0" w:type="auto"/>
            <w:tcBorders>
              <w:top w:val="outset" w:color="auto" w:sz="6" w:space="0"/>
              <w:left w:val="outset" w:color="auto" w:sz="6" w:space="0"/>
              <w:bottom w:val="outset" w:color="auto" w:sz="6" w:space="0"/>
              <w:right w:val="single" w:color="auto" w:sz="12" w:space="0"/>
            </w:tcBorders>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50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30" w:type="dxa"/>
            <w:left w:w="30" w:type="dxa"/>
            <w:bottom w:w="30" w:type="dxa"/>
            <w:right w:w="30" w:type="dxa"/>
          </w:tblCellMar>
        </w:tblPrEx>
        <w:trPr>
          <w:trHeight w:val="330" w:hRule="atLeast"/>
          <w:tblCellSpacing w:w="0" w:type="dxa"/>
        </w:trPr>
        <w:tc>
          <w:tcPr>
            <w:tcW w:w="0" w:type="auto"/>
            <w:vMerge w:val="restart"/>
            <w:tcBorders>
              <w:top w:val="outset" w:color="auto" w:sz="6" w:space="0"/>
              <w:left w:val="single" w:color="auto" w:sz="12" w:space="0"/>
              <w:right w:val="outset" w:color="auto" w:sz="6" w:space="0"/>
            </w:tcBorders>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其他构筑物</w:t>
            </w:r>
          </w:p>
        </w:tc>
        <w:tc>
          <w:tcPr>
            <w:tcW w:w="0" w:type="auto"/>
            <w:vMerge w:val="restart"/>
            <w:tcBorders>
              <w:top w:val="outset" w:color="auto" w:sz="6" w:space="0"/>
              <w:left w:val="outset" w:color="auto" w:sz="6" w:space="0"/>
              <w:right w:val="outset" w:color="auto" w:sz="6" w:space="0"/>
            </w:tcBorders>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耐火等级</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ascii="宋体" w:hAnsi="宋体" w:cs="宋体"/>
                <w:kern w:val="0"/>
                <w:szCs w:val="21"/>
              </w:rPr>
            </w:pPr>
            <w:r>
              <w:rPr>
                <w:rFonts w:hint="eastAsia" w:ascii="宋体" w:hAnsi="宋体" w:cs="宋体"/>
                <w:kern w:val="0"/>
                <w:szCs w:val="21"/>
              </w:rPr>
              <w:t>一、二级</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ascii="宋体" w:hAnsi="宋体" w:cs="宋体"/>
                <w:kern w:val="0"/>
                <w:szCs w:val="21"/>
              </w:rPr>
            </w:pPr>
            <w:r>
              <w:rPr>
                <w:rFonts w:hint="eastAsia" w:ascii="宋体" w:hAnsi="宋体" w:cs="宋体"/>
                <w:kern w:val="0"/>
                <w:szCs w:val="21"/>
              </w:rPr>
              <w:t>12</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ascii="宋体" w:hAnsi="宋体" w:cs="宋体"/>
                <w:kern w:val="0"/>
                <w:szCs w:val="21"/>
              </w:rPr>
            </w:pPr>
            <w:r>
              <w:rPr>
                <w:rFonts w:hint="eastAsia" w:ascii="宋体" w:hAnsi="宋体" w:cs="宋体"/>
                <w:kern w:val="0"/>
                <w:szCs w:val="21"/>
              </w:rPr>
              <w:t>10</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ascii="宋体" w:hAnsi="宋体" w:cs="宋体"/>
                <w:kern w:val="0"/>
                <w:szCs w:val="21"/>
              </w:rPr>
            </w:pPr>
            <w:r>
              <w:rPr>
                <w:rFonts w:hint="eastAsia" w:ascii="宋体" w:hAnsi="宋体" w:cs="宋体"/>
                <w:kern w:val="0"/>
                <w:szCs w:val="21"/>
              </w:rPr>
              <w:t>12</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ascii="宋体" w:hAnsi="宋体" w:cs="宋体"/>
                <w:kern w:val="0"/>
                <w:szCs w:val="21"/>
              </w:rPr>
            </w:pPr>
            <w:r>
              <w:rPr>
                <w:rFonts w:hint="eastAsia" w:ascii="宋体" w:hAnsi="宋体" w:cs="宋体"/>
                <w:kern w:val="0"/>
                <w:szCs w:val="21"/>
              </w:rPr>
              <w:t>14</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ascii="宋体" w:hAnsi="宋体" w:cs="宋体"/>
                <w:kern w:val="0"/>
                <w:szCs w:val="21"/>
              </w:rPr>
            </w:pPr>
            <w:r>
              <w:rPr>
                <w:rFonts w:hint="eastAsia" w:ascii="宋体" w:hAnsi="宋体" w:cs="宋体"/>
                <w:kern w:val="0"/>
                <w:szCs w:val="21"/>
              </w:rPr>
              <w:t>10</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ascii="宋体" w:hAnsi="宋体" w:cs="宋体"/>
                <w:kern w:val="0"/>
                <w:szCs w:val="21"/>
              </w:rPr>
            </w:pPr>
            <w:r>
              <w:rPr>
                <w:rFonts w:hint="eastAsia" w:ascii="宋体" w:hAnsi="宋体" w:cs="宋体"/>
                <w:kern w:val="0"/>
                <w:szCs w:val="21"/>
              </w:rPr>
              <w:t>12</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ascii="宋体" w:hAnsi="宋体" w:cs="宋体"/>
                <w:kern w:val="0"/>
                <w:szCs w:val="21"/>
              </w:rPr>
            </w:pPr>
            <w:r>
              <w:rPr>
                <w:rFonts w:hint="eastAsia" w:ascii="宋体" w:hAnsi="宋体" w:cs="宋体"/>
                <w:kern w:val="0"/>
                <w:szCs w:val="21"/>
              </w:rPr>
              <w:t>14</w:t>
            </w:r>
          </w:p>
        </w:tc>
        <w:tc>
          <w:tcPr>
            <w:tcW w:w="0" w:type="auto"/>
            <w:tcBorders>
              <w:top w:val="outset" w:color="auto" w:sz="6" w:space="0"/>
              <w:left w:val="outset" w:color="auto" w:sz="6" w:space="0"/>
              <w:bottom w:val="outset" w:color="auto" w:sz="6" w:space="0"/>
              <w:right w:val="single" w:color="auto" w:sz="12" w:space="0"/>
            </w:tcBorders>
            <w:vAlign w:val="center"/>
          </w:tcPr>
          <w:p>
            <w:pPr>
              <w:adjustRightInd w:val="0"/>
              <w:snapToGrid w:val="0"/>
              <w:spacing w:line="360" w:lineRule="auto"/>
              <w:jc w:val="center"/>
              <w:rPr>
                <w:rFonts w:ascii="宋体" w:hAnsi="宋体" w:cs="宋体"/>
                <w:kern w:val="0"/>
                <w:szCs w:val="21"/>
              </w:rPr>
            </w:pPr>
            <w:r>
              <w:rPr>
                <w:rFonts w:hint="eastAsia" w:ascii="宋体" w:hAnsi="宋体" w:cs="宋体"/>
                <w:kern w:val="0"/>
                <w:szCs w:val="21"/>
              </w:rPr>
              <w:t>12</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30" w:type="dxa"/>
            <w:left w:w="30" w:type="dxa"/>
            <w:bottom w:w="30" w:type="dxa"/>
            <w:right w:w="30" w:type="dxa"/>
          </w:tblCellMar>
        </w:tblPrEx>
        <w:trPr>
          <w:trHeight w:val="435" w:hRule="atLeast"/>
          <w:tblCellSpacing w:w="0" w:type="dxa"/>
        </w:trPr>
        <w:tc>
          <w:tcPr>
            <w:tcW w:w="0" w:type="auto"/>
            <w:vMerge w:val="continue"/>
            <w:tcBorders>
              <w:left w:val="single" w:color="auto" w:sz="12" w:space="0"/>
              <w:right w:val="outset" w:color="auto" w:sz="6" w:space="0"/>
            </w:tcBorders>
            <w:vAlign w:val="center"/>
          </w:tcPr>
          <w:p/>
        </w:tc>
        <w:tc>
          <w:tcPr>
            <w:tcW w:w="0" w:type="auto"/>
            <w:vMerge w:val="continue"/>
            <w:tcBorders>
              <w:left w:val="outset" w:color="auto" w:sz="6" w:space="0"/>
              <w:right w:val="outset" w:color="auto" w:sz="6" w:space="0"/>
            </w:tcBorders>
            <w:vAlign w:val="center"/>
          </w:tcP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三级</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14</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12</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14</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16</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12</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14</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16</w:t>
            </w:r>
          </w:p>
        </w:tc>
        <w:tc>
          <w:tcPr>
            <w:tcW w:w="0" w:type="auto"/>
            <w:tcBorders>
              <w:top w:val="outset" w:color="auto" w:sz="6" w:space="0"/>
              <w:left w:val="outset" w:color="auto" w:sz="6" w:space="0"/>
              <w:bottom w:val="outset" w:color="auto" w:sz="6" w:space="0"/>
              <w:right w:val="single" w:color="auto" w:sz="12"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15</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rPr>
          <w:trHeight w:val="495" w:hRule="atLeast"/>
          <w:tblCellSpacing w:w="0" w:type="dxa"/>
        </w:trPr>
        <w:tc>
          <w:tcPr>
            <w:tcW w:w="0" w:type="auto"/>
            <w:vMerge w:val="continue"/>
            <w:tcBorders>
              <w:left w:val="single" w:color="auto" w:sz="12" w:space="0"/>
              <w:bottom w:val="outset" w:color="auto" w:sz="6" w:space="0"/>
              <w:right w:val="outset" w:color="auto" w:sz="6" w:space="0"/>
            </w:tcBorders>
            <w:vAlign w:val="center"/>
          </w:tcPr>
          <w:p/>
        </w:tc>
        <w:tc>
          <w:tcPr>
            <w:tcW w:w="0" w:type="auto"/>
            <w:vMerge w:val="continue"/>
            <w:tcBorders>
              <w:left w:val="outset" w:color="auto" w:sz="6" w:space="0"/>
              <w:bottom w:val="outset" w:color="auto" w:sz="6" w:space="0"/>
              <w:right w:val="outset" w:color="auto" w:sz="6" w:space="0"/>
            </w:tcBorders>
            <w:vAlign w:val="center"/>
          </w:tcP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四级</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16</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14</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16</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18</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14</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16</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18</w:t>
            </w:r>
          </w:p>
        </w:tc>
        <w:tc>
          <w:tcPr>
            <w:tcW w:w="0" w:type="auto"/>
            <w:tcBorders>
              <w:top w:val="outset" w:color="auto" w:sz="6" w:space="0"/>
              <w:left w:val="outset" w:color="auto" w:sz="6" w:space="0"/>
              <w:bottom w:val="outset" w:color="auto" w:sz="6" w:space="0"/>
              <w:right w:val="single" w:color="auto" w:sz="12"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20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30" w:type="dxa"/>
            <w:left w:w="30" w:type="dxa"/>
            <w:bottom w:w="30" w:type="dxa"/>
            <w:right w:w="30" w:type="dxa"/>
          </w:tblCellMar>
        </w:tblPrEx>
        <w:trPr>
          <w:trHeight w:val="435" w:hRule="atLeast"/>
          <w:tblCellSpacing w:w="0" w:type="dxa"/>
        </w:trPr>
        <w:tc>
          <w:tcPr>
            <w:tcW w:w="0" w:type="auto"/>
            <w:vMerge w:val="restart"/>
            <w:tcBorders>
              <w:top w:val="outset" w:color="auto" w:sz="6" w:space="0"/>
              <w:left w:val="single" w:color="auto" w:sz="12" w:space="0"/>
              <w:right w:val="outset" w:color="auto" w:sz="6" w:space="0"/>
            </w:tcBorders>
            <w:vAlign w:val="center"/>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液化石油气</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储罐</w:t>
            </w:r>
          </w:p>
        </w:tc>
        <w:tc>
          <w:tcPr>
            <w:tcW w:w="0" w:type="auto"/>
            <w:tcBorders>
              <w:top w:val="outset" w:color="auto" w:sz="6" w:space="0"/>
              <w:left w:val="outset" w:color="auto" w:sz="6" w:space="0"/>
              <w:bottom w:val="outset" w:color="auto" w:sz="6" w:space="0"/>
              <w:right w:val="outset" w:color="auto" w:sz="6" w:space="0"/>
            </w:tcBorders>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总容量m</w:t>
            </w:r>
            <w:r>
              <w:rPr>
                <w:rFonts w:hint="eastAsia" w:ascii="宋体" w:hAnsi="宋体" w:cs="宋体"/>
                <w:kern w:val="0"/>
                <w:szCs w:val="21"/>
                <w:vertAlign w:val="superscript"/>
              </w:rPr>
              <w:t>3</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单罐容量m</w:t>
            </w:r>
            <w:r>
              <w:rPr>
                <w:rFonts w:hint="eastAsia" w:ascii="宋体" w:hAnsi="宋体" w:cs="宋体"/>
                <w:kern w:val="0"/>
                <w:szCs w:val="21"/>
                <w:vertAlign w:val="superscript"/>
              </w:rPr>
              <w:t>3</w:t>
            </w:r>
          </w:p>
        </w:tc>
        <w:tc>
          <w:tcPr>
            <w:tcW w:w="0" w:type="auto"/>
            <w:gridSpan w:val="8"/>
            <w:tcBorders>
              <w:top w:val="outset" w:color="auto" w:sz="6" w:space="0"/>
              <w:left w:val="outset" w:color="auto" w:sz="6" w:space="0"/>
              <w:bottom w:val="outset" w:color="auto" w:sz="6" w:space="0"/>
              <w:right w:val="single" w:color="auto" w:sz="12" w:space="0"/>
            </w:tcBorders>
            <w:vAlign w:val="center"/>
          </w:tc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rPr>
          <w:trHeight w:val="435" w:hRule="atLeast"/>
          <w:tblCellSpacing w:w="0" w:type="dxa"/>
        </w:trPr>
        <w:tc>
          <w:tcPr>
            <w:tcW w:w="0" w:type="auto"/>
            <w:vMerge w:val="continue"/>
            <w:tcBorders>
              <w:top w:val="outset" w:color="auto" w:sz="6" w:space="0"/>
              <w:left w:val="single" w:color="auto" w:sz="12" w:space="0"/>
              <w:right w:val="outset" w:color="auto" w:sz="6" w:space="0"/>
            </w:tcBorders>
            <w:vAlign w:val="center"/>
          </w:tcPr>
          <w:p/>
        </w:tc>
        <w:tc>
          <w:tcPr>
            <w:tcW w:w="0" w:type="auto"/>
            <w:tcBorders>
              <w:top w:val="outset" w:color="auto" w:sz="6" w:space="0"/>
              <w:left w:val="outset" w:color="auto" w:sz="6" w:space="0"/>
              <w:bottom w:val="outset" w:color="auto" w:sz="6" w:space="0"/>
              <w:right w:val="outset" w:color="auto" w:sz="6" w:space="0"/>
            </w:tcBorders>
            <w:vAlign w:val="center"/>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30&lt;V≤50</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V≤20</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40</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ascii="宋体" w:hAnsi="宋体" w:cs="宋体"/>
                <w:kern w:val="0"/>
                <w:szCs w:val="21"/>
              </w:rPr>
            </w:pPr>
            <w:r>
              <w:rPr>
                <w:rFonts w:hint="eastAsia" w:ascii="宋体" w:hAnsi="宋体" w:cs="宋体"/>
                <w:kern w:val="0"/>
                <w:szCs w:val="21"/>
              </w:rPr>
              <w:t>18</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22</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27</w:t>
            </w:r>
          </w:p>
        </w:tc>
        <w:tc>
          <w:tcPr>
            <w:tcW w:w="0" w:type="auto"/>
            <w:gridSpan w:val="3"/>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27</w:t>
            </w:r>
          </w:p>
        </w:tc>
        <w:tc>
          <w:tcPr>
            <w:tcW w:w="0" w:type="auto"/>
            <w:tcBorders>
              <w:top w:val="outset" w:color="auto" w:sz="6" w:space="0"/>
              <w:left w:val="outset" w:color="auto" w:sz="6" w:space="0"/>
              <w:bottom w:val="outset" w:color="auto" w:sz="6" w:space="0"/>
              <w:right w:val="single" w:color="auto" w:sz="12"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32</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rPr>
          <w:trHeight w:val="360" w:hRule="atLeast"/>
          <w:tblCellSpacing w:w="0" w:type="dxa"/>
        </w:trPr>
        <w:tc>
          <w:tcPr>
            <w:tcW w:w="0" w:type="auto"/>
            <w:vMerge w:val="continue"/>
            <w:tcBorders>
              <w:left w:val="single" w:color="auto" w:sz="12" w:space="0"/>
              <w:right w:val="outset" w:color="auto" w:sz="6" w:space="0"/>
            </w:tcBorders>
            <w:vAlign w:val="center"/>
          </w:tcP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50&lt;V≤200</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V≤50</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45</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20</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25</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30</w:t>
            </w:r>
          </w:p>
        </w:tc>
        <w:tc>
          <w:tcPr>
            <w:tcW w:w="0" w:type="auto"/>
            <w:gridSpan w:val="3"/>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30</w:t>
            </w:r>
          </w:p>
        </w:tc>
        <w:tc>
          <w:tcPr>
            <w:tcW w:w="0" w:type="auto"/>
            <w:tcBorders>
              <w:top w:val="outset" w:color="auto" w:sz="6" w:space="0"/>
              <w:left w:val="outset" w:color="auto" w:sz="6" w:space="0"/>
              <w:bottom w:val="outset" w:color="auto" w:sz="6" w:space="0"/>
              <w:right w:val="single" w:color="auto" w:sz="12"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35</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30" w:type="dxa"/>
            <w:left w:w="30" w:type="dxa"/>
            <w:bottom w:w="30" w:type="dxa"/>
            <w:right w:w="30" w:type="dxa"/>
          </w:tblCellMar>
        </w:tblPrEx>
        <w:trPr>
          <w:trHeight w:val="345" w:hRule="atLeast"/>
          <w:tblCellSpacing w:w="0" w:type="dxa"/>
        </w:trPr>
        <w:tc>
          <w:tcPr>
            <w:tcW w:w="0" w:type="auto"/>
            <w:vMerge w:val="continue"/>
            <w:tcBorders>
              <w:left w:val="single" w:color="auto" w:sz="12" w:space="0"/>
              <w:right w:val="outset" w:color="auto" w:sz="6" w:space="0"/>
            </w:tcBorders>
            <w:vAlign w:val="center"/>
          </w:tcP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200&lt;V≤500</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V≤100</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50</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22</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27</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35</w:t>
            </w:r>
          </w:p>
        </w:tc>
        <w:tc>
          <w:tcPr>
            <w:tcW w:w="0" w:type="auto"/>
            <w:gridSpan w:val="3"/>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35</w:t>
            </w:r>
          </w:p>
        </w:tc>
        <w:tc>
          <w:tcPr>
            <w:tcW w:w="0" w:type="auto"/>
            <w:tcBorders>
              <w:top w:val="outset" w:color="auto" w:sz="6" w:space="0"/>
              <w:left w:val="outset" w:color="auto" w:sz="6" w:space="0"/>
              <w:bottom w:val="outset" w:color="auto" w:sz="6" w:space="0"/>
              <w:right w:val="single" w:color="auto" w:sz="12"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40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rPr>
          <w:trHeight w:val="465" w:hRule="atLeast"/>
          <w:tblCellSpacing w:w="0" w:type="dxa"/>
        </w:trPr>
        <w:tc>
          <w:tcPr>
            <w:tcW w:w="0" w:type="auto"/>
            <w:vMerge w:val="continue"/>
            <w:tcBorders>
              <w:left w:val="single" w:color="auto" w:sz="12" w:space="0"/>
              <w:right w:val="outset" w:color="auto" w:sz="6" w:space="0"/>
            </w:tcBorders>
            <w:vAlign w:val="center"/>
          </w:tcP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500&lt;V≤1000</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V≤200</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55</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25</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30</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40</w:t>
            </w:r>
          </w:p>
        </w:tc>
        <w:tc>
          <w:tcPr>
            <w:tcW w:w="0" w:type="auto"/>
            <w:gridSpan w:val="3"/>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40</w:t>
            </w:r>
          </w:p>
        </w:tc>
        <w:tc>
          <w:tcPr>
            <w:tcW w:w="0" w:type="auto"/>
            <w:tcBorders>
              <w:top w:val="outset" w:color="auto" w:sz="6" w:space="0"/>
              <w:left w:val="outset" w:color="auto" w:sz="6" w:space="0"/>
              <w:bottom w:val="outset" w:color="auto" w:sz="6" w:space="0"/>
              <w:right w:val="single" w:color="auto" w:sz="12"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45</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rPr>
          <w:trHeight w:val="540" w:hRule="atLeast"/>
          <w:tblCellSpacing w:w="0" w:type="dxa"/>
        </w:trPr>
        <w:tc>
          <w:tcPr>
            <w:tcW w:w="0" w:type="auto"/>
            <w:vMerge w:val="continue"/>
            <w:tcBorders>
              <w:left w:val="single" w:color="auto" w:sz="12" w:space="0"/>
              <w:right w:val="outset" w:color="auto" w:sz="6" w:space="0"/>
            </w:tcBorders>
            <w:vAlign w:val="center"/>
          </w:tcP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1000&lt;V≤2500</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V≤400</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65</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30</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40</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50</w:t>
            </w:r>
          </w:p>
        </w:tc>
        <w:tc>
          <w:tcPr>
            <w:tcW w:w="0" w:type="auto"/>
            <w:gridSpan w:val="3"/>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50</w:t>
            </w:r>
          </w:p>
        </w:tc>
        <w:tc>
          <w:tcPr>
            <w:tcW w:w="0" w:type="auto"/>
            <w:tcBorders>
              <w:top w:val="outset" w:color="auto" w:sz="6" w:space="0"/>
              <w:left w:val="outset" w:color="auto" w:sz="6" w:space="0"/>
              <w:bottom w:val="outset" w:color="auto" w:sz="6" w:space="0"/>
              <w:right w:val="single" w:color="auto" w:sz="12"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55</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30" w:type="dxa"/>
            <w:left w:w="30" w:type="dxa"/>
            <w:bottom w:w="30" w:type="dxa"/>
            <w:right w:w="30" w:type="dxa"/>
          </w:tblCellMar>
        </w:tblPrEx>
        <w:trPr>
          <w:trHeight w:val="375" w:hRule="atLeast"/>
          <w:tblCellSpacing w:w="0" w:type="dxa"/>
        </w:trPr>
        <w:tc>
          <w:tcPr>
            <w:tcW w:w="0" w:type="auto"/>
            <w:vMerge w:val="continue"/>
            <w:tcBorders>
              <w:left w:val="single" w:color="auto" w:sz="12" w:space="0"/>
              <w:right w:val="outset" w:color="auto" w:sz="6" w:space="0"/>
            </w:tcBorders>
            <w:vAlign w:val="center"/>
          </w:tcP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2500&lt;V≤5000</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V≤1000</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75</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40</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50</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60</w:t>
            </w:r>
          </w:p>
        </w:tc>
        <w:tc>
          <w:tcPr>
            <w:tcW w:w="0" w:type="auto"/>
            <w:gridSpan w:val="3"/>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60</w:t>
            </w:r>
          </w:p>
        </w:tc>
        <w:tc>
          <w:tcPr>
            <w:tcW w:w="0" w:type="auto"/>
            <w:tcBorders>
              <w:top w:val="outset" w:color="auto" w:sz="6" w:space="0"/>
              <w:left w:val="outset" w:color="auto" w:sz="6" w:space="0"/>
              <w:bottom w:val="outset" w:color="auto" w:sz="6" w:space="0"/>
              <w:right w:val="single" w:color="auto" w:sz="12"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65</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30" w:type="dxa"/>
            <w:left w:w="30" w:type="dxa"/>
            <w:bottom w:w="30" w:type="dxa"/>
            <w:right w:w="30" w:type="dxa"/>
          </w:tblCellMar>
        </w:tblPrEx>
        <w:trPr>
          <w:trHeight w:val="570" w:hRule="atLeast"/>
          <w:tblCellSpacing w:w="0" w:type="dxa"/>
        </w:trPr>
        <w:tc>
          <w:tcPr>
            <w:tcW w:w="0" w:type="auto"/>
            <w:vMerge w:val="continue"/>
            <w:tcBorders>
              <w:left w:val="single" w:color="auto" w:sz="12" w:space="0"/>
              <w:bottom w:val="outset" w:color="auto" w:sz="6" w:space="0"/>
              <w:right w:val="outset" w:color="auto" w:sz="6" w:space="0"/>
            </w:tcBorders>
            <w:vAlign w:val="center"/>
          </w:tcP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V&gt;5000</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V&gt;1000</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100</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50</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63</w:t>
            </w:r>
          </w:p>
        </w:tc>
        <w:tc>
          <w:tcPr>
            <w:tcW w:w="0" w:type="auto"/>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75</w:t>
            </w:r>
          </w:p>
        </w:tc>
        <w:tc>
          <w:tcPr>
            <w:tcW w:w="0" w:type="auto"/>
            <w:gridSpan w:val="3"/>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75</w:t>
            </w:r>
          </w:p>
        </w:tc>
        <w:tc>
          <w:tcPr>
            <w:tcW w:w="0" w:type="auto"/>
            <w:tcBorders>
              <w:top w:val="outset" w:color="auto" w:sz="6" w:space="0"/>
              <w:left w:val="outset" w:color="auto" w:sz="6" w:space="0"/>
              <w:bottom w:val="outset" w:color="auto" w:sz="6" w:space="0"/>
              <w:right w:val="single" w:color="auto" w:sz="12" w:space="0"/>
            </w:tcBorders>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80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rPr>
          <w:tblCellSpacing w:w="0" w:type="dxa"/>
        </w:trPr>
        <w:tc>
          <w:tcPr>
            <w:tcW w:w="0" w:type="auto"/>
            <w:gridSpan w:val="11"/>
            <w:tcBorders>
              <w:top w:val="outset" w:color="auto" w:sz="6" w:space="0"/>
              <w:left w:val="single" w:color="auto" w:sz="12" w:space="0"/>
              <w:bottom w:val="single" w:color="auto" w:sz="12" w:space="0"/>
              <w:right w:val="single" w:color="auto" w:sz="12" w:space="0"/>
            </w:tcBorders>
            <w:vAlign w:val="center"/>
          </w:tcPr>
          <w:p>
            <w:pPr>
              <w:widowControl/>
              <w:adjustRightInd w:val="0"/>
              <w:snapToGrid w:val="0"/>
              <w:spacing w:line="360" w:lineRule="auto"/>
              <w:rPr>
                <w:rFonts w:hint="eastAsia" w:ascii="宋体" w:hAnsi="宋体" w:cs="宋体"/>
                <w:kern w:val="0"/>
                <w:szCs w:val="21"/>
              </w:rPr>
            </w:pPr>
            <w:r>
              <w:rPr>
                <w:rFonts w:hint="eastAsia" w:ascii="宋体" w:hAnsi="宋体" w:cs="宋体"/>
                <w:kern w:val="0"/>
                <w:szCs w:val="21"/>
              </w:rPr>
              <w:t>注1 防火间距应按相邻建筑物或构筑物等的外墙、外壁、外缘的最近距离计算。2 两座厂房相邻较高一面的外墙为防护墙时，其防火间距不限。但甲类厂房之间不应小于4.0m。两座丙、丁、戊类厂房相邻两面的外墙均为不燃烧体，当无外露的燃烧体屋檐，每面外墙上的门窗面积之和各小于等于该外墙5%，且门窗洞口不正对开设时，其防火间距可按本表的规定减少25%。3 企业外铁路指非国家铁路。氧气厂（站、车间）专用的铁路装卸线不受本表限制。4 固定容积储罐的总容积，按其几何容积（m</w:t>
            </w:r>
            <w:r>
              <w:rPr>
                <w:rFonts w:hint="eastAsia" w:ascii="宋体" w:hAnsi="宋体" w:cs="宋体"/>
                <w:kern w:val="0"/>
                <w:szCs w:val="21"/>
                <w:vertAlign w:val="superscript"/>
              </w:rPr>
              <w:t>3</w:t>
            </w:r>
            <w:r>
              <w:rPr>
                <w:rFonts w:hint="eastAsia" w:ascii="宋体" w:hAnsi="宋体" w:cs="宋体"/>
                <w:kern w:val="0"/>
                <w:szCs w:val="21"/>
              </w:rPr>
              <w:t>）和设计贮存压力（绝对压力，10</w:t>
            </w:r>
            <w:r>
              <w:rPr>
                <w:rFonts w:hint="eastAsia" w:ascii="宋体" w:hAnsi="宋体" w:cs="宋体"/>
                <w:kern w:val="0"/>
                <w:szCs w:val="21"/>
                <w:vertAlign w:val="superscript"/>
              </w:rPr>
              <w:t>-</w:t>
            </w:r>
            <w:r>
              <w:rPr>
                <w:rFonts w:hint="eastAsia" w:ascii="宋体" w:hAnsi="宋体" w:cs="宋体"/>
                <w:kern w:val="0"/>
                <w:szCs w:val="21"/>
              </w:rPr>
              <w:t>Pa）的乘积来计算。5 液氧储罐以1m</w:t>
            </w:r>
            <w:r>
              <w:rPr>
                <w:rFonts w:hint="eastAsia" w:ascii="宋体" w:hAnsi="宋体" w:cs="宋体"/>
                <w:kern w:val="0"/>
                <w:szCs w:val="21"/>
                <w:vertAlign w:val="superscript"/>
              </w:rPr>
              <w:t>3</w:t>
            </w:r>
            <w:r>
              <w:rPr>
                <w:rFonts w:hint="eastAsia" w:ascii="宋体" w:hAnsi="宋体" w:cs="宋体"/>
                <w:kern w:val="0"/>
                <w:szCs w:val="21"/>
              </w:rPr>
              <w:t>液氧折合800m</w:t>
            </w:r>
            <w:r>
              <w:rPr>
                <w:rFonts w:hint="eastAsia" w:ascii="宋体" w:hAnsi="宋体" w:cs="宋体"/>
                <w:kern w:val="0"/>
                <w:szCs w:val="21"/>
                <w:vertAlign w:val="superscript"/>
              </w:rPr>
              <w:t>3</w:t>
            </w:r>
            <w:r>
              <w:rPr>
                <w:rFonts w:hint="eastAsia" w:ascii="宋体" w:hAnsi="宋体" w:cs="宋体"/>
                <w:kern w:val="0"/>
                <w:szCs w:val="21"/>
              </w:rPr>
              <w:t>标准状态气氧计算，按本表氧气储罐相应储量的规定执行。6 氧气储罐、惰性气体储罐、室外布置的工艺设备与其制氧厂房的间距，按工艺布置要求确定。7 室外变配电站，是指电力系统电压为35～500kV，且每台变压器容量在10000kVA以上的室外变配电站，如工业企业中变压器总油量超过5t的室外总降压变电站。8 容积小于等于50m</w:t>
            </w:r>
            <w:r>
              <w:rPr>
                <w:rFonts w:hint="eastAsia" w:ascii="宋体" w:hAnsi="宋体" w:cs="宋体"/>
                <w:kern w:val="0"/>
                <w:szCs w:val="21"/>
                <w:vertAlign w:val="superscript"/>
              </w:rPr>
              <w:t>3</w:t>
            </w:r>
            <w:r>
              <w:rPr>
                <w:rFonts w:hint="eastAsia" w:ascii="宋体" w:hAnsi="宋体" w:cs="宋体"/>
                <w:kern w:val="0"/>
                <w:szCs w:val="21"/>
              </w:rPr>
              <w:t>的氧气储罐与所属使用厂房的防火间距不限。9 容积小于等于3m</w:t>
            </w:r>
            <w:r>
              <w:rPr>
                <w:rFonts w:hint="eastAsia" w:ascii="宋体" w:hAnsi="宋体" w:cs="宋体"/>
                <w:kern w:val="0"/>
                <w:szCs w:val="21"/>
                <w:vertAlign w:val="superscript"/>
              </w:rPr>
              <w:t>3</w:t>
            </w:r>
            <w:r>
              <w:rPr>
                <w:rFonts w:hint="eastAsia" w:ascii="宋体" w:hAnsi="宋体" w:cs="宋体"/>
                <w:kern w:val="0"/>
                <w:szCs w:val="21"/>
              </w:rPr>
              <w:t>的氢气储罐与所属使用厂房的防火间距不限。10 液氧储罐周围5m的范围内，不应有可燃物和设置沥青路面。11 氧气厂（站、车间）室外布置的空分装置或惰性气体储罐，应按一、二级耐火等级的乙类生产建筑（空分装置）或一、二级耐火等级的戊类生产建筑（惰性气体储罐）确定其与其他各建筑之间的最小防火间距。12 氧气厂（站、车间）等一、二级耐火等级的乙类生产建筑物，与其他甲类生产建筑物间的最小防火间距，应按本表对其他各类生产建筑物之间规定的间距增加2m。13 液化石油气防火间距，按表中宗容积或单罐容积较大者确定。14 乙类生产车间与液化石油气储罐的最小防火间距距铜甲类生产车间。15 本表中的氧气设施的建、构筑物不含氧气管道的支架和管廊。1） 指氧气厂内主要生产车间及设施。</w:t>
            </w:r>
          </w:p>
        </w:tc>
      </w:tr>
    </w:tbl>
    <w:p>
      <w:pPr>
        <w:sectPr>
          <w:pgSz w:w="16838" w:h="11906" w:orient="landscape"/>
          <w:pgMar w:top="1134" w:right="1134" w:bottom="1134" w:left="1134" w:header="851" w:footer="992" w:gutter="0"/>
          <w:cols w:space="425" w:num="1"/>
          <w:docGrid w:type="lines" w:linePitch="312" w:charSpace="0"/>
        </w:sectPr>
      </w:pPr>
    </w:p>
    <w:p>
      <w:pPr>
        <w:widowControl/>
        <w:adjustRightInd w:val="0"/>
        <w:snapToGrid w:val="0"/>
        <w:spacing w:line="360" w:lineRule="auto"/>
        <w:jc w:val="left"/>
        <w:rPr>
          <w:rFonts w:hint="eastAsia" w:ascii="宋体" w:hAnsi="宋体" w:cs="宋体"/>
          <w:kern w:val="0"/>
          <w:sz w:val="24"/>
        </w:rPr>
      </w:pPr>
      <w:r>
        <w:rPr>
          <w:rFonts w:hint="eastAsia" w:ascii="宋体" w:hAnsi="宋体" w:cs="宋体"/>
          <w:kern w:val="0"/>
          <w:sz w:val="24"/>
        </w:rPr>
        <w:t>本体应有色标。</w:t>
      </w:r>
    </w:p>
    <w:p>
      <w:pPr>
        <w:widowControl/>
        <w:adjustRightInd w:val="0"/>
        <w:snapToGrid w:val="0"/>
        <w:spacing w:line="360" w:lineRule="auto"/>
        <w:ind w:firstLine="480" w:firstLineChars="200"/>
        <w:jc w:val="left"/>
        <w:rPr>
          <w:rFonts w:hint="eastAsia" w:ascii="宋体" w:hAnsi="宋体" w:cs="宋体"/>
          <w:kern w:val="0"/>
          <w:sz w:val="28"/>
          <w:szCs w:val="28"/>
        </w:rPr>
      </w:pPr>
      <w:r>
        <w:rPr>
          <w:rFonts w:hint="eastAsia" w:ascii="宋体" w:hAnsi="宋体" w:cs="宋体"/>
          <w:kern w:val="0"/>
          <w:sz w:val="24"/>
        </w:rPr>
        <w:t>4.4.3 制氢间和氢气储罐区宜设高度不小于2.5m的不燃烧体实体围墙与四周隔断,并设安全警戒标志。</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4.4.4 厂区通行道路及露天工作场所和巡逻检查运转设备的路线,应有足够的照明灯具,并符合GB 50034的有关规定。</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4.4.5 厂区高空管道阀门,应设操作平台、围栏和直梯,其规格应符合GB 4053.l、GB 4053.2、GB 4053.3、GB 4053.4的规定。</w:t>
      </w:r>
    </w:p>
    <w:p>
      <w:pPr>
        <w:pStyle w:val="3"/>
        <w:adjustRightInd w:val="0"/>
        <w:snapToGrid w:val="0"/>
        <w:spacing w:before="0" w:after="0" w:line="360" w:lineRule="auto"/>
        <w:ind w:firstLine="480" w:firstLineChars="200"/>
        <w:rPr>
          <w:rFonts w:hint="eastAsia" w:ascii="宋体" w:hAnsi="宋体" w:eastAsia="宋体"/>
          <w:b w:val="0"/>
          <w:kern w:val="0"/>
          <w:sz w:val="24"/>
          <w:szCs w:val="24"/>
        </w:rPr>
      </w:pPr>
      <w:r>
        <w:rPr>
          <w:rFonts w:hint="eastAsia" w:ascii="宋体" w:hAnsi="宋体" w:eastAsia="宋体"/>
          <w:b w:val="0"/>
          <w:kern w:val="0"/>
          <w:sz w:val="24"/>
          <w:szCs w:val="24"/>
        </w:rPr>
        <w:t>4.5 消防设施</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4.5.1 厂内应按GB 50016有关规定,设置消防车通道和消防给水设施。寒冷地区的消防给水设施应有防冻措施。还应根据GB 50140的要求，配备适当种类、数量的相应灭火器材。</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4.5.2 润滑油库的消防设施应符合GB 50016、GB 50140的有关规定。</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4.5.3 透平氧压机防护墙内宜设火灾自动报警系统。</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4.5.4 计算机室、主控制室、配电室、电缆室（电缆沟、电缆隧道）等场所应设火灾自动报警系统。分析室宜火灾报警系统和可燃气体、助燃气体自动检测警装置。</w:t>
      </w:r>
    </w:p>
    <w:p>
      <w:pPr>
        <w:pStyle w:val="3"/>
        <w:adjustRightInd w:val="0"/>
        <w:snapToGrid w:val="0"/>
        <w:spacing w:before="0" w:after="0" w:line="360" w:lineRule="auto"/>
        <w:ind w:firstLine="480" w:firstLineChars="200"/>
        <w:rPr>
          <w:rFonts w:hint="eastAsia" w:ascii="宋体" w:hAnsi="宋体" w:eastAsia="宋体"/>
          <w:b w:val="0"/>
          <w:kern w:val="0"/>
          <w:sz w:val="24"/>
          <w:szCs w:val="24"/>
        </w:rPr>
      </w:pPr>
      <w:r>
        <w:rPr>
          <w:rFonts w:hint="eastAsia" w:ascii="宋体" w:hAnsi="宋体" w:eastAsia="宋体"/>
          <w:b w:val="0"/>
          <w:kern w:val="0"/>
          <w:sz w:val="24"/>
          <w:szCs w:val="24"/>
        </w:rPr>
        <w:t>4.6 防火、防爆</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4.6.1 制氧站房、灌氧站房或压氧站房、液氧气化站房,宜布置成独立建筑物,但可与不低于其耐火等级的除火灾危险性属“甲”、“乙”类的生产车间,以及铸造车间、锻压车间、热处理车间等明火车间外的其他车间毗连建造,其毗连的墙应为无门、窗、洞的防护墙。</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4.6.2 输氧量不超过60m</w:t>
      </w:r>
      <w:r>
        <w:rPr>
          <w:rFonts w:hint="eastAsia" w:ascii="宋体" w:hAnsi="宋体" w:cs="宋体"/>
          <w:kern w:val="0"/>
          <w:sz w:val="24"/>
          <w:vertAlign w:val="superscript"/>
        </w:rPr>
        <w:t>3</w:t>
      </w:r>
      <w:r>
        <w:rPr>
          <w:rFonts w:hint="eastAsia" w:ascii="宋体" w:hAnsi="宋体" w:cs="宋体"/>
          <w:kern w:val="0"/>
          <w:sz w:val="24"/>
        </w:rPr>
        <w:t>/h的氧气汇流排间,可设在不低于三级耐火等级的用户厂房内靠外墙处,并应采用高度为2.5m、耐火极限不低于1.5h的墙和丙级防火门,与厂房的其他部分隔开。</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4.6.3 输氧量超过60m</w:t>
      </w:r>
      <w:r>
        <w:rPr>
          <w:rFonts w:hint="eastAsia" w:ascii="宋体" w:hAnsi="宋体" w:cs="宋体"/>
          <w:kern w:val="0"/>
          <w:sz w:val="24"/>
          <w:vertAlign w:val="superscript"/>
        </w:rPr>
        <w:t>3</w:t>
      </w:r>
      <w:r>
        <w:rPr>
          <w:rFonts w:hint="eastAsia" w:ascii="宋体" w:hAnsi="宋体" w:cs="宋体"/>
          <w:kern w:val="0"/>
          <w:sz w:val="24"/>
        </w:rPr>
        <w:t>/h的氧气汇流排间,宜布置成独立建筑物,当与其他用户厂房毗连建造时,其毗连的厂房的耐火等级不应低于二级,并应采用耐火极限不低于1.5h的无门、窗、洞的墙,与该厂房隔开。</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4.6.4 氧气汇流排间可与同一用途的气态乙炔站或乙炔汇流排间,毗连建造在耐火等级不低于二级的同一建筑物中,但应以无门、窗、洞的防护墙相互隔开。</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4.6.5 灌氧（氮、氩、氢）站房充装台应设高不低于2m、厚不小于200mm的钢筋混凝土防护墙。</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4.6.6 严格氧气瓶误装(尤其是氢、氧混装)，严禁气瓶超装。</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4.6.7 当氧气实瓶的储量小于或等于1700只时,制氧站房或液氧气化站房和灌氧站房可设在同一建筑物内,但应采用耐火极限不低于1.5h的不燃烧体隔墙和丙级防火门,并应通过走道相通。</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当该建筑物内设置中压、高压氧气储罐时,储罐和实瓶的储气总容量不应超过l0200m</w:t>
      </w:r>
      <w:r>
        <w:rPr>
          <w:rFonts w:hint="eastAsia" w:ascii="宋体" w:hAnsi="宋体" w:cs="宋体"/>
          <w:kern w:val="0"/>
          <w:sz w:val="24"/>
          <w:vertAlign w:val="superscript"/>
        </w:rPr>
        <w:t>3</w:t>
      </w:r>
      <w:r>
        <w:rPr>
          <w:rFonts w:hint="eastAsia" w:ascii="宋体" w:hAnsi="宋体" w:cs="宋体"/>
          <w:kern w:val="0"/>
          <w:sz w:val="24"/>
        </w:rPr>
        <w:t>。</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4.6.8 当氧气实瓶的储量超过1700只时,应将制氧站房或液氧气化站房和灌氧站房分别设在两座独立的建筑物内。</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灌氧站房中,氧气实瓶的储量不应超过3400只,当该建筑物内设置中、高压氧气储罐时，储罐和实瓶的储气总容量不应超过20400m</w:t>
      </w:r>
      <w:r>
        <w:rPr>
          <w:rFonts w:hint="eastAsia" w:ascii="宋体" w:hAnsi="宋体" w:cs="宋体"/>
          <w:kern w:val="0"/>
          <w:sz w:val="24"/>
          <w:vertAlign w:val="superscript"/>
        </w:rPr>
        <w:t>3</w:t>
      </w:r>
      <w:r>
        <w:rPr>
          <w:rFonts w:hint="eastAsia" w:ascii="宋体" w:hAnsi="宋体" w:cs="宋体"/>
          <w:kern w:val="0"/>
          <w:sz w:val="24"/>
        </w:rPr>
        <w:t>。</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4.6.9 气体储罐、低温液体储槽宜布置在室外。当储罐或低温液体储槽需室内布置时,宜设置在通风良好的单独房间内，且液氧的总储存量不应超过10m</w:t>
      </w:r>
      <w:r>
        <w:rPr>
          <w:rFonts w:hint="eastAsia" w:ascii="宋体" w:hAnsi="宋体" w:cs="宋体"/>
          <w:kern w:val="0"/>
          <w:sz w:val="24"/>
          <w:vertAlign w:val="superscript"/>
        </w:rPr>
        <w:t>3</w:t>
      </w:r>
      <w:r>
        <w:rPr>
          <w:rFonts w:hint="eastAsia" w:ascii="宋体" w:hAnsi="宋体" w:cs="宋体"/>
          <w:kern w:val="0"/>
          <w:sz w:val="24"/>
        </w:rPr>
        <w:t>。</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储气囊宜布置在单独的房间内,当储气囊总容量小于或等于100m</w:t>
      </w:r>
      <w:r>
        <w:rPr>
          <w:rFonts w:hint="eastAsia" w:ascii="宋体" w:hAnsi="宋体" w:cs="宋体"/>
          <w:kern w:val="0"/>
          <w:sz w:val="24"/>
          <w:vertAlign w:val="superscript"/>
        </w:rPr>
        <w:t>3</w:t>
      </w:r>
      <w:r>
        <w:rPr>
          <w:rFonts w:hint="eastAsia" w:ascii="宋体" w:hAnsi="宋体" w:cs="宋体"/>
          <w:kern w:val="0"/>
          <w:sz w:val="24"/>
        </w:rPr>
        <w:t>寸,可布置在制氧站房内。储气囊与设备的水平距离不应小于3m,并应有安全和防火围护措施。</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储气囊不应直接布置在氧气压缩机的顶部,当确需在氧气压缩机顶部布置时,应有防火围护措施。储气囊应防阳光照射。</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采用氢气进行产品净化的催化反应炉，宜设置在站房内靠外墙边的单独房间内，并有良好通风措施。</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氢气瓶应存放在站房内靠外墙处的单独房间内，并不应与其他房间直接相通，且房间顶部设置通风孔。氢气实瓶的储量，不宜超过60只。房间内应设固定式氢气报警仪。</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氧气压缩机间、净化间、氢气瓶间、储罐间、低温液体储槽间、汇流排间，均应设有安全出口。</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灌氧站房、汇流排间、空瓶间和实瓶间，均应有防止瓶倒的措施。</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独立的氧气实瓶库或氧气空瓶、实瓶库的最大储量，对于一、二级耐火等级每座库房13600只，每一防护墙间3400只；对于三级耐火等级每座库房4500只，每一防护墙间1500只。</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液氧气化站房的主要生产间和氧气汇流排间，宜为单层建筑物。</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制氧站房或液氧气化站房和灌氧站房，当布置在同一建筑物内时，应采用耐火极限不低于1.5h的不燃烧体隔墙和丙级防火门进行分隔，并应通过走廊相通。</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氧气储气囊间、氧气压缩机间、灌氧站房、氧气实瓶间、氧气储罐间、净化</w:t>
      </w:r>
    </w:p>
    <w:p>
      <w:pPr>
        <w:widowControl/>
        <w:adjustRightInd w:val="0"/>
        <w:snapToGrid w:val="0"/>
        <w:spacing w:line="360" w:lineRule="auto"/>
        <w:jc w:val="left"/>
        <w:rPr>
          <w:rFonts w:hint="eastAsia" w:ascii="宋体" w:hAnsi="宋体" w:cs="宋体"/>
          <w:kern w:val="0"/>
          <w:sz w:val="24"/>
        </w:rPr>
      </w:pPr>
      <w:r>
        <w:rPr>
          <w:rFonts w:hint="eastAsia" w:ascii="宋体" w:hAnsi="宋体" w:cs="宋体"/>
          <w:kern w:val="0"/>
          <w:sz w:val="24"/>
        </w:rPr>
        <w:t>间、氢气瓶间、液氧储槽间、氧气汇流排间等房间相互之间，以及与其他毗连房间之间，应采取耐火极限不低于2.0h的不燃烧体墙分隔。</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氧气压缩机间与灌氧站房，以及净化间、氧气储气囊间、氧气储罐间、液氧储槽间与其他房间之间的隔墙上的门，应采用不低于乙级的防火门。</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氧气厂（站、车间）、制氢站、气化站房的主要生产间和汇流排间，其围护结构的门窗，应向外开启。</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设置在爆炸和火灾危险场所的电气设备，应符合GB 50058的规定。</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制氢间、氢气压缩机间、氢气瓶库和催化反应炉部分属1区爆炸危险区。</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透平氧压机防护墙内，液氧储配区和氧气调压阀组间按21区火灾危险区要求，灌氧站房、氧气储气囊间按22区火灾危险区要求。</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电缆接头及电缆沟内的非阻燃电缆应涂阻火涂料。电缆沟不准与其他管沟相通，应保持通风良好。</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透平氧压机和用于输配的多级离心液氧泵，应设防护墙（罩）与周围隔离。</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氧气厂（站、车间）内的乙类生产火灾危险性建筑物、液氧气化站房和氧气汇流排间，严禁用明火和电热散热器采暖。</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计量器具及仪表的选用应考虑安全、防火防爆的要求。</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氧压机、液氧泵、冷箱内设备、氧气及液氧储罐、氧气管道和阀门、与氧接触的仪表、工机具、检修氧气设备人员的防护用品等，严禁被油脂污染。</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氧气管道流速、材质、阀门、附件、安装、施工、验收等，应严格按第8章的有关规定执行，避免起火、爆炸。</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空分装置应采取防爆措施，防止乙炔及其他碳氢化物和氮氧化物在液氧、液空中积聚、浓缩、堵塞引起燃爆。降膜式主冷应采取更严格的防爆措施。</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氧气放散时，在放散口附近严禁烟火。氧气的各种放散管，均应引出室外，并放散至安全处。</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氢气站要严禁烟火并设禁火标志，防止泄漏，杜绝氢、氧混合燃爆。</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氢气生产场所的照明应采用防爆型灯具，其光源宜采取荧光灯等高效光源。灯具宜装载较低处，不得装在氢气释放源的正上方。</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氢气瓶库宜采用在外墙上用双层玻璃密封的腰窗照明。</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压力容器、压力管道的设计、制造、安装、改造、使用、检修及检验检测，应符合《压力容器安全技术监察规程》等国家特种设备安全管理的有关规定。</w:t>
      </w:r>
    </w:p>
    <w:p>
      <w:pPr>
        <w:pStyle w:val="3"/>
        <w:adjustRightInd w:val="0"/>
        <w:snapToGrid w:val="0"/>
        <w:spacing w:before="0" w:after="0" w:line="360" w:lineRule="auto"/>
        <w:ind w:firstLine="480" w:firstLineChars="200"/>
        <w:rPr>
          <w:rFonts w:hint="eastAsia" w:ascii="宋体" w:hAnsi="宋体" w:eastAsia="宋体"/>
          <w:b w:val="0"/>
          <w:kern w:val="0"/>
          <w:sz w:val="24"/>
          <w:szCs w:val="24"/>
        </w:rPr>
      </w:pPr>
      <w:r>
        <w:rPr>
          <w:rFonts w:hint="eastAsia" w:ascii="宋体" w:hAnsi="宋体" w:eastAsia="宋体"/>
          <w:b w:val="0"/>
          <w:kern w:val="0"/>
          <w:sz w:val="24"/>
          <w:szCs w:val="24"/>
        </w:rPr>
        <w:t>4.7 防雷、防静电</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4.7.1 厂内各类建、构筑物的防雷、防静电措施，应符合GB 50057和GB 50058的规定。防雷最大冲击接地电阻值与防静电最大接地电阻见表4。</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表4 各类设施防雷防静电最大接地电阻                        单位为欧姆</w:t>
      </w:r>
    </w:p>
    <w:tbl>
      <w:tblPr>
        <w:tblStyle w:val="5"/>
        <w:tblW w:w="5000" w:type="pct"/>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15" w:type="dxa"/>
          <w:left w:w="15" w:type="dxa"/>
          <w:bottom w:w="15" w:type="dxa"/>
          <w:right w:w="15" w:type="dxa"/>
        </w:tblCellMar>
      </w:tblPr>
      <w:tblGrid>
        <w:gridCol w:w="5084"/>
        <w:gridCol w:w="2259"/>
        <w:gridCol w:w="2071"/>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2700" w:type="pct"/>
            <w:tcBorders>
              <w:top w:val="outset" w:color="auto" w:sz="6" w:space="0"/>
              <w:left w:val="outset" w:color="auto" w:sz="6" w:space="0"/>
              <w:bottom w:val="outset" w:color="auto" w:sz="6" w:space="0"/>
              <w:right w:val="outset" w:color="auto" w:sz="6" w:space="0"/>
            </w:tcBorders>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设　施　名　称</w:t>
            </w:r>
          </w:p>
        </w:tc>
        <w:tc>
          <w:tcPr>
            <w:tcW w:w="1200" w:type="pct"/>
            <w:tcBorders>
              <w:top w:val="outset" w:color="auto" w:sz="6" w:space="0"/>
              <w:left w:val="outset" w:color="auto" w:sz="6" w:space="0"/>
              <w:bottom w:val="outset" w:color="auto" w:sz="6" w:space="0"/>
              <w:right w:val="outset" w:color="auto" w:sz="6" w:space="0"/>
            </w:tcBorders>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防雷接地最大冲击电阻</w:t>
            </w:r>
          </w:p>
        </w:tc>
        <w:tc>
          <w:tcPr>
            <w:tcW w:w="1100" w:type="pct"/>
            <w:tcBorders>
              <w:top w:val="outset" w:color="auto" w:sz="6" w:space="0"/>
              <w:left w:val="outset" w:color="auto" w:sz="6" w:space="0"/>
              <w:bottom w:val="outset" w:color="auto" w:sz="6" w:space="0"/>
              <w:right w:val="outset" w:color="auto" w:sz="6" w:space="0"/>
            </w:tcBorders>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防静电最大接地电阻</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2700" w:type="pct"/>
            <w:tcBorders>
              <w:top w:val="outset" w:color="auto" w:sz="6" w:space="0"/>
              <w:left w:val="outset" w:color="auto" w:sz="6" w:space="0"/>
              <w:bottom w:val="outset" w:color="auto" w:sz="6" w:space="0"/>
              <w:right w:val="outset" w:color="auto" w:sz="6" w:space="0"/>
            </w:tcBorders>
          </w:tcPr>
          <w:p>
            <w:pPr>
              <w:widowControl/>
              <w:adjustRightInd w:val="0"/>
              <w:snapToGrid w:val="0"/>
              <w:spacing w:line="360" w:lineRule="auto"/>
              <w:jc w:val="left"/>
              <w:rPr>
                <w:rFonts w:ascii="宋体" w:hAnsi="宋体" w:cs="宋体"/>
                <w:kern w:val="0"/>
                <w:szCs w:val="21"/>
              </w:rPr>
            </w:pPr>
            <w:r>
              <w:rPr>
                <w:rFonts w:hint="eastAsia" w:ascii="宋体" w:hAnsi="宋体" w:cs="宋体"/>
                <w:kern w:val="0"/>
                <w:szCs w:val="21"/>
              </w:rPr>
              <w:t>室外空分装置、制氧间、压氧间、灌氧站房、氧气储罐</w:t>
            </w:r>
          </w:p>
        </w:tc>
        <w:tc>
          <w:tcPr>
            <w:tcW w:w="1200" w:type="pct"/>
            <w:tcBorders>
              <w:top w:val="outset" w:color="auto" w:sz="6" w:space="0"/>
              <w:left w:val="outset" w:color="auto" w:sz="6" w:space="0"/>
              <w:bottom w:val="outset" w:color="auto" w:sz="6" w:space="0"/>
              <w:right w:val="outset" w:color="auto" w:sz="6" w:space="0"/>
            </w:tcBorders>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30</w:t>
            </w:r>
          </w:p>
        </w:tc>
        <w:tc>
          <w:tcPr>
            <w:tcW w:w="1100" w:type="pct"/>
            <w:tcBorders>
              <w:top w:val="outset" w:color="auto" w:sz="6" w:space="0"/>
              <w:left w:val="outset" w:color="auto" w:sz="6" w:space="0"/>
              <w:bottom w:val="outset" w:color="auto" w:sz="6" w:space="0"/>
              <w:right w:val="outset" w:color="auto" w:sz="6" w:space="0"/>
            </w:tcBorders>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2700" w:type="pct"/>
            <w:tcBorders>
              <w:top w:val="outset" w:color="auto" w:sz="6" w:space="0"/>
              <w:left w:val="outset" w:color="auto" w:sz="6" w:space="0"/>
              <w:bottom w:val="outset" w:color="auto" w:sz="6" w:space="0"/>
              <w:right w:val="outset" w:color="auto" w:sz="6" w:space="0"/>
            </w:tcBorders>
          </w:tcPr>
          <w:p>
            <w:pPr>
              <w:widowControl/>
              <w:adjustRightInd w:val="0"/>
              <w:snapToGrid w:val="0"/>
              <w:spacing w:line="360" w:lineRule="auto"/>
              <w:jc w:val="left"/>
              <w:rPr>
                <w:rFonts w:ascii="宋体" w:hAnsi="宋体" w:cs="宋体"/>
                <w:kern w:val="0"/>
                <w:szCs w:val="21"/>
              </w:rPr>
            </w:pPr>
            <w:r>
              <w:rPr>
                <w:rFonts w:hint="eastAsia" w:ascii="宋体" w:hAnsi="宋体" w:cs="宋体"/>
                <w:kern w:val="0"/>
                <w:szCs w:val="21"/>
              </w:rPr>
              <w:t>制氢间、氢瓶库、氢充瓶间、氩净化间、压氢间</w:t>
            </w:r>
          </w:p>
        </w:tc>
        <w:tc>
          <w:tcPr>
            <w:tcW w:w="1200" w:type="pct"/>
            <w:tcBorders>
              <w:top w:val="outset" w:color="auto" w:sz="6" w:space="0"/>
              <w:left w:val="outset" w:color="auto" w:sz="6" w:space="0"/>
              <w:bottom w:val="outset" w:color="auto" w:sz="6" w:space="0"/>
              <w:right w:val="outset" w:color="auto" w:sz="6" w:space="0"/>
            </w:tcBorders>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10</w:t>
            </w:r>
          </w:p>
        </w:tc>
        <w:tc>
          <w:tcPr>
            <w:tcW w:w="1100" w:type="pct"/>
            <w:tcBorders>
              <w:top w:val="outset" w:color="auto" w:sz="6" w:space="0"/>
              <w:left w:val="outset" w:color="auto" w:sz="6" w:space="0"/>
              <w:bottom w:val="outset" w:color="auto" w:sz="6" w:space="0"/>
              <w:right w:val="outset" w:color="auto" w:sz="6" w:space="0"/>
            </w:tcBorders>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2700" w:type="pct"/>
            <w:tcBorders>
              <w:top w:val="outset" w:color="auto" w:sz="6" w:space="0"/>
              <w:left w:val="outset" w:color="auto" w:sz="6" w:space="0"/>
              <w:bottom w:val="outset" w:color="auto" w:sz="6" w:space="0"/>
              <w:right w:val="outset" w:color="auto" w:sz="6" w:space="0"/>
            </w:tcBorders>
          </w:tcPr>
          <w:p>
            <w:pPr>
              <w:widowControl/>
              <w:adjustRightInd w:val="0"/>
              <w:snapToGrid w:val="0"/>
              <w:spacing w:line="360" w:lineRule="auto"/>
              <w:jc w:val="left"/>
              <w:rPr>
                <w:rFonts w:ascii="宋体" w:hAnsi="宋体" w:cs="宋体"/>
                <w:kern w:val="0"/>
                <w:szCs w:val="21"/>
              </w:rPr>
            </w:pPr>
            <w:r>
              <w:rPr>
                <w:rFonts w:hint="eastAsia" w:ascii="宋体" w:hAnsi="宋体" w:cs="宋体"/>
                <w:kern w:val="0"/>
                <w:szCs w:val="21"/>
              </w:rPr>
              <w:t>空分装置内外积聚液空、液氧的各类设备及氧压机、氧充瓶台管道</w:t>
            </w:r>
          </w:p>
        </w:tc>
        <w:tc>
          <w:tcPr>
            <w:tcW w:w="1200" w:type="pct"/>
            <w:tcBorders>
              <w:top w:val="outset" w:color="auto" w:sz="6" w:space="0"/>
              <w:left w:val="outset" w:color="auto" w:sz="6" w:space="0"/>
              <w:bottom w:val="outset" w:color="auto" w:sz="6" w:space="0"/>
              <w:right w:val="outset" w:color="auto" w:sz="6" w:space="0"/>
            </w:tcBorders>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w:t>
            </w:r>
          </w:p>
        </w:tc>
        <w:tc>
          <w:tcPr>
            <w:tcW w:w="1100" w:type="pct"/>
            <w:tcBorders>
              <w:top w:val="outset" w:color="auto" w:sz="6" w:space="0"/>
              <w:left w:val="outset" w:color="auto" w:sz="6" w:space="0"/>
              <w:bottom w:val="outset" w:color="auto" w:sz="6" w:space="0"/>
              <w:right w:val="outset" w:color="auto" w:sz="6" w:space="0"/>
            </w:tcBorders>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10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2700" w:type="pct"/>
            <w:tcBorders>
              <w:top w:val="outset" w:color="auto" w:sz="6" w:space="0"/>
              <w:left w:val="outset" w:color="auto" w:sz="6" w:space="0"/>
              <w:bottom w:val="outset" w:color="auto" w:sz="6" w:space="0"/>
              <w:right w:val="outset" w:color="auto" w:sz="6" w:space="0"/>
            </w:tcBorders>
          </w:tcPr>
          <w:p>
            <w:pPr>
              <w:widowControl/>
              <w:adjustRightInd w:val="0"/>
              <w:snapToGrid w:val="0"/>
              <w:spacing w:line="360" w:lineRule="auto"/>
              <w:jc w:val="left"/>
              <w:rPr>
                <w:rFonts w:ascii="宋体" w:hAnsi="宋体" w:cs="宋体"/>
                <w:kern w:val="0"/>
                <w:szCs w:val="21"/>
              </w:rPr>
            </w:pPr>
            <w:r>
              <w:rPr>
                <w:rFonts w:hint="eastAsia" w:ascii="宋体" w:hAnsi="宋体" w:cs="宋体"/>
                <w:kern w:val="0"/>
                <w:szCs w:val="21"/>
              </w:rPr>
              <w:t>室外架空氧气管道</w:t>
            </w:r>
          </w:p>
        </w:tc>
        <w:tc>
          <w:tcPr>
            <w:tcW w:w="1200" w:type="pct"/>
            <w:tcBorders>
              <w:top w:val="outset" w:color="auto" w:sz="6" w:space="0"/>
              <w:left w:val="outset" w:color="auto" w:sz="6" w:space="0"/>
              <w:bottom w:val="outset" w:color="auto" w:sz="6" w:space="0"/>
              <w:right w:val="outset" w:color="auto" w:sz="6" w:space="0"/>
            </w:tcBorders>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w:t>
            </w:r>
          </w:p>
        </w:tc>
        <w:tc>
          <w:tcPr>
            <w:tcW w:w="1100" w:type="pct"/>
            <w:tcBorders>
              <w:top w:val="outset" w:color="auto" w:sz="6" w:space="0"/>
              <w:left w:val="outset" w:color="auto" w:sz="6" w:space="0"/>
              <w:bottom w:val="outset" w:color="auto" w:sz="6" w:space="0"/>
              <w:right w:val="outset" w:color="auto" w:sz="6" w:space="0"/>
            </w:tcBorders>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10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2700" w:type="pct"/>
            <w:tcBorders>
              <w:top w:val="outset" w:color="auto" w:sz="6" w:space="0"/>
              <w:left w:val="outset" w:color="auto" w:sz="6" w:space="0"/>
              <w:bottom w:val="outset" w:color="auto" w:sz="6" w:space="0"/>
              <w:right w:val="outset" w:color="auto" w:sz="6" w:space="0"/>
            </w:tcBorders>
          </w:tcPr>
          <w:p>
            <w:pPr>
              <w:widowControl/>
              <w:adjustRightInd w:val="0"/>
              <w:snapToGrid w:val="0"/>
              <w:spacing w:line="360" w:lineRule="auto"/>
              <w:jc w:val="left"/>
              <w:rPr>
                <w:rFonts w:ascii="宋体" w:hAnsi="宋体" w:cs="宋体"/>
                <w:kern w:val="0"/>
                <w:szCs w:val="21"/>
              </w:rPr>
            </w:pPr>
            <w:r>
              <w:rPr>
                <w:rFonts w:hint="eastAsia" w:ascii="宋体" w:hAnsi="宋体" w:cs="宋体"/>
                <w:kern w:val="0"/>
                <w:szCs w:val="21"/>
              </w:rPr>
              <w:t>室内氢生产、储配系统</w:t>
            </w:r>
          </w:p>
        </w:tc>
        <w:tc>
          <w:tcPr>
            <w:tcW w:w="1200" w:type="pct"/>
            <w:tcBorders>
              <w:top w:val="outset" w:color="auto" w:sz="6" w:space="0"/>
              <w:left w:val="outset" w:color="auto" w:sz="6" w:space="0"/>
              <w:bottom w:val="outset" w:color="auto" w:sz="6" w:space="0"/>
              <w:right w:val="outset" w:color="auto" w:sz="6" w:space="0"/>
            </w:tcBorders>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w:t>
            </w:r>
          </w:p>
        </w:tc>
        <w:tc>
          <w:tcPr>
            <w:tcW w:w="1100" w:type="pct"/>
            <w:tcBorders>
              <w:top w:val="outset" w:color="auto" w:sz="6" w:space="0"/>
              <w:left w:val="outset" w:color="auto" w:sz="6" w:space="0"/>
              <w:bottom w:val="outset" w:color="auto" w:sz="6" w:space="0"/>
              <w:right w:val="outset" w:color="auto" w:sz="6" w:space="0"/>
            </w:tcBorders>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10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2700" w:type="pct"/>
            <w:tcBorders>
              <w:top w:val="outset" w:color="auto" w:sz="6" w:space="0"/>
              <w:left w:val="outset" w:color="auto" w:sz="6" w:space="0"/>
              <w:bottom w:val="outset" w:color="auto" w:sz="6" w:space="0"/>
              <w:right w:val="outset" w:color="auto" w:sz="6" w:space="0"/>
            </w:tcBorders>
          </w:tcPr>
          <w:p>
            <w:pPr>
              <w:widowControl/>
              <w:adjustRightInd w:val="0"/>
              <w:snapToGrid w:val="0"/>
              <w:spacing w:line="360" w:lineRule="auto"/>
              <w:jc w:val="left"/>
              <w:rPr>
                <w:rFonts w:ascii="宋体" w:hAnsi="宋体" w:cs="宋体"/>
                <w:kern w:val="0"/>
                <w:szCs w:val="21"/>
              </w:rPr>
            </w:pPr>
            <w:r>
              <w:rPr>
                <w:rFonts w:hint="eastAsia" w:ascii="宋体" w:hAnsi="宋体" w:cs="宋体"/>
                <w:kern w:val="0"/>
                <w:szCs w:val="21"/>
              </w:rPr>
              <w:t>架空氢气管道</w:t>
            </w:r>
          </w:p>
        </w:tc>
        <w:tc>
          <w:tcPr>
            <w:tcW w:w="1200" w:type="pct"/>
            <w:tcBorders>
              <w:top w:val="outset" w:color="auto" w:sz="6" w:space="0"/>
              <w:left w:val="outset" w:color="auto" w:sz="6" w:space="0"/>
              <w:bottom w:val="outset" w:color="auto" w:sz="6" w:space="0"/>
              <w:right w:val="outset" w:color="auto" w:sz="6" w:space="0"/>
            </w:tcBorders>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10</w:t>
            </w:r>
          </w:p>
        </w:tc>
        <w:tc>
          <w:tcPr>
            <w:tcW w:w="1100" w:type="pct"/>
            <w:tcBorders>
              <w:top w:val="outset" w:color="auto" w:sz="6" w:space="0"/>
              <w:left w:val="outset" w:color="auto" w:sz="6" w:space="0"/>
              <w:bottom w:val="outset" w:color="auto" w:sz="6" w:space="0"/>
              <w:right w:val="outset" w:color="auto" w:sz="6" w:space="0"/>
            </w:tcBorders>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10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2700" w:type="pct"/>
            <w:tcBorders>
              <w:top w:val="outset" w:color="auto" w:sz="6" w:space="0"/>
              <w:left w:val="outset" w:color="auto" w:sz="6" w:space="0"/>
              <w:bottom w:val="outset" w:color="auto" w:sz="6" w:space="0"/>
              <w:right w:val="outset" w:color="auto" w:sz="6" w:space="0"/>
            </w:tcBorders>
          </w:tcPr>
          <w:p>
            <w:pPr>
              <w:widowControl/>
              <w:adjustRightInd w:val="0"/>
              <w:snapToGrid w:val="0"/>
              <w:spacing w:line="360" w:lineRule="auto"/>
              <w:jc w:val="left"/>
              <w:rPr>
                <w:rFonts w:ascii="宋体" w:hAnsi="宋体" w:cs="宋体"/>
                <w:kern w:val="0"/>
                <w:szCs w:val="21"/>
              </w:rPr>
            </w:pPr>
            <w:r>
              <w:rPr>
                <w:rFonts w:hint="eastAsia" w:ascii="宋体" w:hAnsi="宋体" w:cs="宋体"/>
                <w:kern w:val="0"/>
                <w:szCs w:val="21"/>
              </w:rPr>
              <w:t>室外氢储配系统</w:t>
            </w:r>
          </w:p>
        </w:tc>
        <w:tc>
          <w:tcPr>
            <w:tcW w:w="1200" w:type="pct"/>
            <w:tcBorders>
              <w:top w:val="outset" w:color="auto" w:sz="6" w:space="0"/>
              <w:left w:val="outset" w:color="auto" w:sz="6" w:space="0"/>
              <w:bottom w:val="outset" w:color="auto" w:sz="6" w:space="0"/>
              <w:right w:val="outset" w:color="auto" w:sz="6" w:space="0"/>
            </w:tcBorders>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10</w:t>
            </w:r>
          </w:p>
        </w:tc>
        <w:tc>
          <w:tcPr>
            <w:tcW w:w="1100" w:type="pct"/>
            <w:tcBorders>
              <w:top w:val="outset" w:color="auto" w:sz="6" w:space="0"/>
              <w:left w:val="outset" w:color="auto" w:sz="6" w:space="0"/>
              <w:bottom w:val="outset" w:color="auto" w:sz="6" w:space="0"/>
              <w:right w:val="outset" w:color="auto" w:sz="6" w:space="0"/>
            </w:tcBorders>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10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0" w:type="auto"/>
            <w:gridSpan w:val="3"/>
            <w:tcBorders>
              <w:top w:val="outset" w:color="auto" w:sz="6" w:space="0"/>
              <w:left w:val="outset" w:color="auto" w:sz="6" w:space="0"/>
              <w:bottom w:val="outset" w:color="auto" w:sz="6" w:space="0"/>
              <w:right w:val="outset" w:color="auto" w:sz="6" w:space="0"/>
            </w:tcBorders>
          </w:tcPr>
          <w:p>
            <w:pPr>
              <w:widowControl/>
              <w:adjustRightInd w:val="0"/>
              <w:snapToGrid w:val="0"/>
              <w:spacing w:line="360" w:lineRule="auto"/>
              <w:jc w:val="left"/>
              <w:rPr>
                <w:rFonts w:ascii="宋体" w:hAnsi="宋体" w:cs="宋体"/>
                <w:kern w:val="0"/>
                <w:szCs w:val="21"/>
              </w:rPr>
            </w:pPr>
            <w:r>
              <w:rPr>
                <w:rFonts w:hint="eastAsia" w:ascii="宋体" w:hAnsi="宋体" w:cs="宋体"/>
                <w:kern w:val="0"/>
                <w:szCs w:val="21"/>
              </w:rPr>
              <w:t>注：室外空分装置防雷接地和冷箱内主要设备防静电接地应分别设置。</w:t>
            </w:r>
          </w:p>
        </w:tc>
      </w:tr>
    </w:tbl>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4.7.2 氢气生产、储配设施的建、构筑物属第二类防雷建、构筑物。氧气生产、储配系统的建、构筑物和高度在1.5m以上的吸风筒，属第三类防雷建、构筑物。</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4.7.3 所有防雷防静电接地装置，应定期检测接地电阻，每年至少检测一次。集散控制系统的接地装置应单独设置。</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4.7.4 氧气（包括液氧）和氢气设备、管道、阀门上的法兰连接和螺纹连接处，应采用金属导线跨接，其跨接电阻应小于0.03Ω。</w:t>
      </w:r>
    </w:p>
    <w:p>
      <w:pPr>
        <w:pStyle w:val="3"/>
        <w:adjustRightInd w:val="0"/>
        <w:snapToGrid w:val="0"/>
        <w:spacing w:before="0" w:after="0" w:line="360" w:lineRule="auto"/>
        <w:ind w:firstLine="480" w:firstLineChars="200"/>
        <w:rPr>
          <w:rFonts w:hint="eastAsia" w:ascii="宋体" w:hAnsi="宋体" w:eastAsia="宋体"/>
          <w:b w:val="0"/>
          <w:kern w:val="0"/>
          <w:sz w:val="24"/>
          <w:szCs w:val="24"/>
        </w:rPr>
      </w:pPr>
      <w:r>
        <w:rPr>
          <w:rFonts w:hint="eastAsia" w:ascii="宋体" w:hAnsi="宋体" w:eastAsia="宋体"/>
          <w:b w:val="0"/>
          <w:kern w:val="0"/>
          <w:sz w:val="24"/>
          <w:szCs w:val="24"/>
        </w:rPr>
        <w:t>4.8 电气安全</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4.8.1</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其他企业的电网架空线不准通过氧气厂区上空。</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4.8.2 氧气厂的供电电源，应符合GB 50052的有关规定。</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4.8.3 电缆沟底面坡度不小于0.5%,在最低处设集水井和排水设施。</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4.8.4 电气线路和设备的绝缘必须良好。裸露带电导体处应设置安全遮栏和明显的示警标志与良好照明。</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4.8.5 电气设备和装置的金属外壳、金属电缆桥架及其支架、引入或引出的金属电缆导管、电缆的铠装和电缆屏蔽层，应可靠接地。</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4.8.6 携带式照明灯具的电源电压不准超过36V。在金属容器内和潮湿处的灯具电压不准超过12V。有爆炸危险的场所应使用防爆型灯具。</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4.8.7</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4.8.8 氧及氢的主要生产车间、机器通道处及控制室、变电室入口处应设置应急照明灯。</w:t>
      </w:r>
    </w:p>
    <w:p>
      <w:pPr>
        <w:pStyle w:val="3"/>
        <w:adjustRightInd w:val="0"/>
        <w:snapToGrid w:val="0"/>
        <w:spacing w:before="0" w:after="0" w:line="360" w:lineRule="auto"/>
        <w:ind w:firstLine="480" w:firstLineChars="200"/>
        <w:rPr>
          <w:rFonts w:hint="eastAsia" w:ascii="宋体" w:hAnsi="宋体" w:eastAsia="宋体"/>
          <w:b w:val="0"/>
          <w:kern w:val="0"/>
          <w:sz w:val="24"/>
          <w:szCs w:val="24"/>
        </w:rPr>
      </w:pPr>
      <w:r>
        <w:rPr>
          <w:rFonts w:hint="eastAsia" w:ascii="宋体" w:hAnsi="宋体" w:eastAsia="宋体"/>
          <w:b w:val="0"/>
          <w:kern w:val="0"/>
          <w:sz w:val="24"/>
          <w:szCs w:val="24"/>
        </w:rPr>
        <w:t>4.9 设施防冻</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4.9.1 空分装置基础应根据不同地区的气候和地质条件、地下水位、地表水渗入层等因素，采取防冻措施。宜用珠光砂混凝土等具有防火、防冻特性材料做基础，不准用可燃物质代替。</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4.9.2 空分装置基础内，宜设监控测温点。</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4.9.3 深冷低温运行的设备、容器和管道，应用铜、铝合金或不锈钢等耐低温材料制作，外设保冷层。</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4.9.4 设计、安装低温液体的管道，应采取避免低温液体在管道内、阀门前后积存的措施。</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4.9.5 粉末绝热平地低温液体储罐基础应为高台式，设泡沫玻璃砖绝热层，并参照4.9.2∽</w:t>
      </w:r>
    </w:p>
    <w:p>
      <w:pPr>
        <w:pStyle w:val="3"/>
        <w:adjustRightInd w:val="0"/>
        <w:snapToGrid w:val="0"/>
        <w:spacing w:before="0" w:after="0" w:line="360" w:lineRule="auto"/>
        <w:ind w:firstLine="480" w:firstLineChars="200"/>
        <w:rPr>
          <w:rFonts w:hint="eastAsia" w:ascii="宋体" w:hAnsi="宋体" w:eastAsia="宋体"/>
          <w:b w:val="0"/>
          <w:kern w:val="0"/>
          <w:sz w:val="24"/>
          <w:szCs w:val="24"/>
        </w:rPr>
      </w:pPr>
      <w:r>
        <w:rPr>
          <w:rFonts w:hint="eastAsia" w:ascii="宋体" w:hAnsi="宋体" w:eastAsia="宋体"/>
          <w:b w:val="0"/>
          <w:kern w:val="0"/>
          <w:sz w:val="24"/>
          <w:szCs w:val="24"/>
        </w:rPr>
        <w:t>4.10 防地震、防振动</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4.10.1 防地震 氧气厂（站、车间）的建、构筑物和厂址选定时，抗震的设防应符合GB 50011、GB 50191的有关规定。</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4.10.2 防振动 氧气厂(站、车间)的各种设备、装置的防振动符合以下要求：</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a)厂区应按总图布置的有关规定,与周期性机械振动的振源保恃一定距离。</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b)各种压缩机的允许振幅值,必须符合有关技术规程的要求。</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c)对产生振动的机组、附属设备及其管道，应采取防止共振措施。</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d)压缩机放空管道宜采取加固措施。</w:t>
      </w:r>
    </w:p>
    <w:p>
      <w:pPr>
        <w:pStyle w:val="3"/>
        <w:adjustRightInd w:val="0"/>
        <w:snapToGrid w:val="0"/>
        <w:spacing w:before="0" w:after="0" w:line="360" w:lineRule="auto"/>
        <w:ind w:firstLine="480" w:firstLineChars="200"/>
        <w:rPr>
          <w:rFonts w:hint="eastAsia" w:ascii="宋体" w:hAnsi="宋体" w:eastAsia="宋体"/>
          <w:b w:val="0"/>
          <w:kern w:val="0"/>
          <w:sz w:val="24"/>
          <w:szCs w:val="24"/>
        </w:rPr>
      </w:pPr>
      <w:r>
        <w:rPr>
          <w:rFonts w:hint="eastAsia" w:ascii="宋体" w:hAnsi="宋体" w:eastAsia="宋体"/>
          <w:b w:val="0"/>
          <w:kern w:val="0"/>
          <w:sz w:val="24"/>
          <w:szCs w:val="24"/>
        </w:rPr>
        <w:t>4.11 通风设施</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4.11.1 车间的通风,应符合GB 500l9的有关规定。</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4.11.2 制氢间、压氢间和氢气瓶库等有保证危险房间内，应设氢气检漏报警装置，并应与相应的事故排风机连锁。当室内氢气浓度达到0.4%（体积分数）时，事故排风机应能自动启动通风换气。设计时应按室内换气次数每小时不小于3次,事故通风每小时换气次数不小于12次进行计算。宜采用气楼式自然通风。</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4.11.3 氮气压缩机间的通风换气次数,应按室内空气中氧含量不小于19.5%的要求确定,设计时按室内换气次数每小时不少于3次，事故通风每小时换气次数不少于7次进行计算。宜设氧含量检测报警装置。</w:t>
      </w:r>
    </w:p>
    <w:p>
      <w:pPr>
        <w:pStyle w:val="3"/>
        <w:adjustRightInd w:val="0"/>
        <w:snapToGrid w:val="0"/>
        <w:spacing w:before="0" w:after="0" w:line="360" w:lineRule="auto"/>
        <w:ind w:firstLine="480" w:firstLineChars="200"/>
        <w:rPr>
          <w:rFonts w:hint="eastAsia" w:ascii="宋体" w:hAnsi="宋体" w:eastAsia="宋体"/>
          <w:b w:val="0"/>
          <w:kern w:val="0"/>
          <w:sz w:val="24"/>
          <w:szCs w:val="24"/>
        </w:rPr>
      </w:pPr>
      <w:r>
        <w:rPr>
          <w:rFonts w:hint="eastAsia" w:ascii="宋体" w:hAnsi="宋体" w:eastAsia="宋体"/>
          <w:b w:val="0"/>
          <w:kern w:val="0"/>
          <w:sz w:val="24"/>
          <w:szCs w:val="24"/>
        </w:rPr>
        <w:t>4.12 管道和储罐的漆色标识</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4.12.1 设计、安装和维修气、液体管道时,管道外壁涂色标识应符合GB 7231和表5的规定。</w:t>
      </w:r>
    </w:p>
    <w:p>
      <w:pPr>
        <w:widowControl/>
        <w:adjustRightInd w:val="0"/>
        <w:snapToGrid w:val="0"/>
        <w:spacing w:line="360" w:lineRule="auto"/>
        <w:ind w:firstLine="480" w:firstLineChars="200"/>
        <w:rPr>
          <w:rFonts w:hint="eastAsia" w:ascii="宋体" w:hAnsi="宋体" w:cs="宋体"/>
          <w:kern w:val="0"/>
          <w:sz w:val="24"/>
        </w:rPr>
      </w:pPr>
      <w:r>
        <w:rPr>
          <w:rFonts w:hint="eastAsia" w:ascii="宋体" w:hAnsi="宋体" w:cs="宋体"/>
          <w:kern w:val="0"/>
          <w:sz w:val="24"/>
        </w:rPr>
        <w:t>表5                         各种气、液体管道色标</w:t>
      </w:r>
    </w:p>
    <w:tbl>
      <w:tblPr>
        <w:tblStyle w:val="5"/>
        <w:tblW w:w="5000" w:type="pct"/>
        <w:tblCellSpacing w:w="0" w:type="dxa"/>
        <w:tblInd w:w="0" w:type="dxa"/>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Layout w:type="autofit"/>
        <w:tblCellMar>
          <w:top w:w="15" w:type="dxa"/>
          <w:left w:w="15" w:type="dxa"/>
          <w:bottom w:w="15" w:type="dxa"/>
          <w:right w:w="15" w:type="dxa"/>
        </w:tblCellMar>
      </w:tblPr>
      <w:tblGrid>
        <w:gridCol w:w="2450"/>
        <w:gridCol w:w="1269"/>
        <w:gridCol w:w="676"/>
        <w:gridCol w:w="2451"/>
        <w:gridCol w:w="1269"/>
        <w:gridCol w:w="1269"/>
      </w:tblGrid>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15" w:type="dxa"/>
            <w:left w:w="15" w:type="dxa"/>
            <w:bottom w:w="15" w:type="dxa"/>
            <w:right w:w="15" w:type="dxa"/>
          </w:tblCellMar>
        </w:tblPrEx>
        <w:trPr>
          <w:tblCellSpacing w:w="0" w:type="dxa"/>
        </w:trPr>
        <w:tc>
          <w:tcPr>
            <w:tcW w:w="1306" w:type="pct"/>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输送气、液体名称</w:t>
            </w:r>
          </w:p>
        </w:tc>
        <w:tc>
          <w:tcPr>
            <w:tcW w:w="676" w:type="pct"/>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管道颜色</w:t>
            </w:r>
          </w:p>
        </w:tc>
        <w:tc>
          <w:tcPr>
            <w:tcW w:w="360" w:type="pct"/>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色环</w:t>
            </w:r>
          </w:p>
        </w:tc>
        <w:tc>
          <w:tcPr>
            <w:tcW w:w="1306" w:type="pct"/>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输送气、液体名称</w:t>
            </w:r>
          </w:p>
        </w:tc>
        <w:tc>
          <w:tcPr>
            <w:tcW w:w="676" w:type="pct"/>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管道颜色</w:t>
            </w:r>
          </w:p>
        </w:tc>
        <w:tc>
          <w:tcPr>
            <w:tcW w:w="676" w:type="pct"/>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色环</w:t>
            </w: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15" w:type="dxa"/>
            <w:left w:w="15" w:type="dxa"/>
            <w:bottom w:w="15" w:type="dxa"/>
            <w:right w:w="15" w:type="dxa"/>
          </w:tblCellMar>
        </w:tblPrEx>
        <w:trPr>
          <w:tblCellSpacing w:w="0" w:type="dxa"/>
        </w:trPr>
        <w:tc>
          <w:tcPr>
            <w:tcW w:w="1306" w:type="pct"/>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蒸汽</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空气</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氧气</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氮气</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污氮</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氢气</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氩气</w:t>
            </w:r>
          </w:p>
        </w:tc>
        <w:tc>
          <w:tcPr>
            <w:tcW w:w="676" w:type="pct"/>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大红</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淡灰</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淡蓝</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浅黄</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棕</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红</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银灰</w:t>
            </w:r>
          </w:p>
        </w:tc>
        <w:tc>
          <w:tcPr>
            <w:tcW w:w="360" w:type="pct"/>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白</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w:t>
            </w:r>
          </w:p>
        </w:tc>
        <w:tc>
          <w:tcPr>
            <w:tcW w:w="1306" w:type="pct"/>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上水</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下水</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油（进）</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油（出）</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加温解冻气</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消防水</w:t>
            </w:r>
          </w:p>
        </w:tc>
        <w:tc>
          <w:tcPr>
            <w:tcW w:w="676" w:type="pct"/>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艳绿</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艳绿</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黄</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黄</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红</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红</w:t>
            </w:r>
          </w:p>
        </w:tc>
        <w:tc>
          <w:tcPr>
            <w:tcW w:w="676" w:type="pct"/>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黑</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黑</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黑</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挂牌标识</w:t>
            </w:r>
          </w:p>
        </w:tc>
      </w:tr>
    </w:tbl>
    <w:p>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4.12.2 管道上应漆有表示介质流动方向的白色或黄色箭头,底色浅的用黑色。</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4.12.3 各类储罐的外壁或保温层外壁色标如下：</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球形及圆筒形储罐的外壁最外层宜刷银粉漆。球形储罐的赤道带,应刷宽400～800mm的色带。圆筒形储罐的中心轴带应刷宽200～400mm的色带。色带的色标同表5的规定。</w:t>
      </w:r>
    </w:p>
    <w:p>
      <w:pPr>
        <w:pStyle w:val="3"/>
        <w:adjustRightInd w:val="0"/>
        <w:snapToGrid w:val="0"/>
        <w:spacing w:before="0" w:after="0" w:line="360" w:lineRule="auto"/>
        <w:ind w:firstLine="480" w:firstLineChars="200"/>
        <w:rPr>
          <w:rFonts w:hint="eastAsia" w:ascii="宋体" w:hAnsi="宋体" w:eastAsia="宋体"/>
          <w:b w:val="0"/>
          <w:kern w:val="0"/>
          <w:sz w:val="24"/>
          <w:szCs w:val="24"/>
        </w:rPr>
      </w:pPr>
      <w:r>
        <w:rPr>
          <w:rFonts w:hint="eastAsia" w:ascii="宋体" w:hAnsi="宋体" w:eastAsia="宋体"/>
          <w:b w:val="0"/>
          <w:kern w:val="0"/>
          <w:sz w:val="24"/>
          <w:szCs w:val="24"/>
        </w:rPr>
        <w:t>4.13 安全管理</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4.13.1 应建立健全各级安全生产责任制和安全规章制度,并制定事故应急救援预案，各级人员应对其所管辖范围的安全负责。</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4.13.2 应对员工进行安全生产技术专业培训和劳动纪律教育,经考试合格后，持证上岗。</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4.13.3 应建立、健全对厂房、工业构筑物、氧气管道及阀门、压力容器和重要机电、仪表设备的安全技术专业检查制度。</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4.13.4 对于具有潜在危险的场所，应在醒目位置设置安全警示牌。</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4.13.5 严禁携带火种进入厂区,每次动火前应办理“动火许可证”。</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4.13.6 主要机电设备应实行挂牌操作制度,重要操作应有专人监护。设备检修应制定检修制度,应有断水、断电和断气的安全措施。氧气管道及阀门作业应实行操作票制。氧气管道动火要制定方案并经主管部门批准。</w:t>
      </w:r>
    </w:p>
    <w:p>
      <w:pPr>
        <w:pStyle w:val="2"/>
        <w:adjustRightInd w:val="0"/>
        <w:snapToGrid w:val="0"/>
        <w:spacing w:before="0" w:after="0" w:line="360" w:lineRule="auto"/>
        <w:ind w:firstLine="480" w:firstLineChars="200"/>
        <w:rPr>
          <w:rFonts w:hint="eastAsia" w:ascii="宋体" w:hAnsi="宋体"/>
          <w:b w:val="0"/>
          <w:kern w:val="0"/>
          <w:sz w:val="24"/>
          <w:szCs w:val="24"/>
        </w:rPr>
      </w:pPr>
      <w:r>
        <w:rPr>
          <w:rFonts w:hint="eastAsia" w:ascii="宋体" w:hAnsi="宋体"/>
          <w:b w:val="0"/>
          <w:kern w:val="0"/>
          <w:sz w:val="24"/>
          <w:szCs w:val="24"/>
        </w:rPr>
        <w:t>5 生产运行和设备的一般要求</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5.1 设备应根据国家、行业标准及制造单位的技术文件规定,进行安装、操作、检查、维修和检验。</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5.2 凡与氧气接触的设备、管道、阀门、仪表及零部件严禁沾污油脂。氧气压力表应设有禁油标志。</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5.3 操作、维护、检修氧气生产系统的人员所用工具、工作服、手套等用品,严禁沾染油脂。</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5.4 盛装低温液体的器具必须干净,容器内严禁积存油、水、有机物和其他杂质。</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5.5 配制、搬运腐蚀性化学物品时,应穿戴好防护用品。</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5.6 生产现场不准堆放油脂和与生产无关的其他物品。</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5.7 空分装置、液氧罐周围和主控制室内严禁堆放易燃易爆物品，不准随便乱倒有害污染物质。</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5.8 开车前检查设备的安全防护装置、仪器、仪表,并确认阀门开、关的状态。</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5.9 应定期检查校对系统中的压力表、安全阀、温度计等仪表和安全联锁保护装置。</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5.10 储罐与安全阀之间不宜装设中间截止阀门。若需要时，可加装同等级的截止阀门，但正常运行时该截止阀门应保持全开，并加铅封、加锁、挂牌。</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5.11 在氮气和氩气及其他稀有气体区域内作业,应采取防止窒息措施,作业区内气体经化验合格后方准工作。</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5.12 回转设备启动前应按设备操作规程要求进行盘车检查,严禁边盘车边启动。</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5.13 设备裸露的回转部位,应设符合有关国家标准的防护罩。严禁跨越运转中的设备。</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5.14 应按规定进行运行中的设备巡回检查,发现问题及时处理并上报,紧急情况下可停机处理。</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5.15 寒冷天气，设备应采取防冻措施。</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5.16 压缩机、储罐(包括低温液体储罐)和其他有关设备，严禁超压运行。设备或系统如有泄漏,严禁带压紧螺栓。</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5.17 禁止向室内排放除空气以外的各种气体。</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5.18 氧气储罐投入使用前,应进行压力试验、气密性试验、除锈、脱脂、吹扫,并在内壁涂好不燃防锈涂料。</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5.19 放散氧气时以及排放液氧、液空时，应通知周围严禁动火,并设专人监护。</w:t>
      </w:r>
    </w:p>
    <w:p>
      <w:pPr>
        <w:pStyle w:val="2"/>
        <w:adjustRightInd w:val="0"/>
        <w:snapToGrid w:val="0"/>
        <w:spacing w:before="0" w:after="0" w:line="360" w:lineRule="auto"/>
        <w:ind w:firstLine="480" w:firstLineChars="200"/>
        <w:rPr>
          <w:rFonts w:hint="eastAsia" w:ascii="宋体" w:hAnsi="宋体"/>
          <w:b w:val="0"/>
          <w:kern w:val="0"/>
          <w:sz w:val="24"/>
          <w:szCs w:val="24"/>
        </w:rPr>
      </w:pPr>
      <w:r>
        <w:rPr>
          <w:rFonts w:hint="eastAsia" w:ascii="宋体" w:hAnsi="宋体"/>
          <w:b w:val="0"/>
          <w:kern w:val="0"/>
          <w:sz w:val="24"/>
          <w:szCs w:val="24"/>
        </w:rPr>
        <w:t>6 氧气生产和设备</w:t>
      </w:r>
    </w:p>
    <w:p>
      <w:pPr>
        <w:pStyle w:val="3"/>
        <w:adjustRightInd w:val="0"/>
        <w:snapToGrid w:val="0"/>
        <w:spacing w:before="0" w:after="0" w:line="360" w:lineRule="auto"/>
        <w:ind w:firstLine="480" w:firstLineChars="200"/>
        <w:rPr>
          <w:rFonts w:ascii="宋体" w:hAnsi="宋体" w:eastAsia="宋体"/>
          <w:b w:val="0"/>
          <w:kern w:val="0"/>
          <w:sz w:val="24"/>
          <w:szCs w:val="24"/>
        </w:rPr>
      </w:pPr>
      <w:r>
        <w:rPr>
          <w:rFonts w:hint="eastAsia" w:ascii="宋体" w:hAnsi="宋体" w:eastAsia="宋体"/>
          <w:b w:val="0"/>
          <w:kern w:val="0"/>
          <w:sz w:val="24"/>
          <w:szCs w:val="24"/>
        </w:rPr>
        <w:t>6.1 空压机</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6.1.1 空压机入口的空气过滤器应按规定定期清扫或更换滤料。空压机入口不宜采用油浸式过滤器。</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6.1.2 大、中型空压机应设置防喘振、振动、轴位移、油压、油温、水压、水量、轴承温度及排气温度等报警联锁装置。开车前应做好空投试验。</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6.1.3 未配备轴头油泵的大、中型空压机，宜设高位油箱或压力油箱,并应设油压降低时辅助油泵的自起动和停机联锁保护装置。</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6.1.4 空压机运行中当发现不正常的声响、气味、振动或发生故障,应立即停车检查。</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6.1.5 空压机的所有保护连锁装置和安全附件，在启动前应进行检查，并确认处于完好状态,方可启动。</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6.1.6 大、中型空压机连续冷启动不宜超过三次,热启动不宜超过两次。启动间隔时间按设备操作说明书规定执行。</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6.1.7 活塞式空压机气缸的注油量、油质均须符合要求,严格控制气缸温度,不准超过规定值。气缸润滑油的闪点必须比压缩机空气正常排气温度高40℃以上,且应具有良好的抗氧化安定性。</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6.1.8 内压缩流程（氧气）的增压机应满足6.1.2∽</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6.1.9 内压缩流程（氧气）的增压机与主空压机应同步运行，增压机与空压机间的连锁报警装置应完善、可靠。</w:t>
      </w:r>
    </w:p>
    <w:p>
      <w:pPr>
        <w:pStyle w:val="3"/>
        <w:adjustRightInd w:val="0"/>
        <w:snapToGrid w:val="0"/>
        <w:spacing w:before="0" w:after="0" w:line="360" w:lineRule="auto"/>
        <w:ind w:firstLine="480" w:firstLineChars="200"/>
        <w:rPr>
          <w:rFonts w:hint="eastAsia" w:ascii="宋体" w:hAnsi="宋体" w:eastAsia="宋体"/>
          <w:b w:val="0"/>
          <w:kern w:val="0"/>
          <w:sz w:val="24"/>
          <w:szCs w:val="24"/>
        </w:rPr>
      </w:pPr>
      <w:r>
        <w:rPr>
          <w:rFonts w:hint="eastAsia" w:ascii="宋体" w:hAnsi="宋体" w:eastAsia="宋体"/>
          <w:b w:val="0"/>
          <w:kern w:val="0"/>
          <w:sz w:val="24"/>
          <w:szCs w:val="24"/>
        </w:rPr>
        <w:t>6.2 氧压机</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6.2.1</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6.2.2 氧压机试车时,应用氮气或无油空气进行吹扫、试运行，严禁用氧气直接试车。</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6.2.3 透平氧压机的轴密封应完好,并保证轴封气的压力在规定值之内。</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6.2.4 透平氧压机应防止冷却器漏水。长时间停机时，应充氮密封。</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6.2.5 透平氧压机应设置可熔探针或温度探头、自动快速氮气灭火或其他灭火设施。</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6.2.6 经常检查活塞式氧压机油密封圈的密封效果，发现问题及时修复，严防油被活塞杆带入气缸。</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6.2.7 氧压机正常工作时，各级压力、温度不准超过规定值。有异常振动和声音时，则应采取措施，直至停机检查。</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6.2.8 气缸用水润滑的氧压机应设断水报警停机装置，运行时应经常检查蒸馏水的供</w:t>
      </w:r>
    </w:p>
    <w:p>
      <w:pPr>
        <w:widowControl/>
        <w:adjustRightInd w:val="0"/>
        <w:snapToGrid w:val="0"/>
        <w:spacing w:line="360" w:lineRule="auto"/>
        <w:jc w:val="left"/>
        <w:rPr>
          <w:rFonts w:hint="eastAsia" w:ascii="宋体" w:hAnsi="宋体" w:cs="宋体"/>
          <w:kern w:val="0"/>
          <w:sz w:val="24"/>
        </w:rPr>
      </w:pPr>
      <w:r>
        <w:rPr>
          <w:rFonts w:hint="eastAsia" w:ascii="宋体" w:hAnsi="宋体" w:cs="宋体"/>
          <w:kern w:val="0"/>
          <w:sz w:val="24"/>
        </w:rPr>
        <w:t>给情况，严禁缺水和断水。</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6.2.9 开关手动氧气阀门时应侧身缓慢开启。带有旁通阀者，应先开旁通阀均压，发现异常声音应立即采取措施。</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氧压机着火时，必须紧急停车并同时切断氧气来源，发出报警信号。</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氧压机所有的零部件材质必须符合原设计要求。在未取得足够的试验数据证明可用代用材料前，严禁随意变更氧压机零部件的材质。</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氧压机还应执行6.1的有关规定。</w:t>
      </w:r>
    </w:p>
    <w:p>
      <w:pPr>
        <w:pStyle w:val="3"/>
        <w:adjustRightInd w:val="0"/>
        <w:snapToGrid w:val="0"/>
        <w:spacing w:before="0" w:after="0" w:line="360" w:lineRule="auto"/>
        <w:ind w:firstLine="480" w:firstLineChars="200"/>
        <w:rPr>
          <w:rFonts w:hint="eastAsia" w:ascii="宋体" w:hAnsi="宋体" w:eastAsia="宋体"/>
          <w:b w:val="0"/>
          <w:kern w:val="0"/>
          <w:sz w:val="24"/>
          <w:szCs w:val="24"/>
        </w:rPr>
      </w:pPr>
      <w:r>
        <w:rPr>
          <w:rFonts w:hint="eastAsia" w:ascii="宋体" w:hAnsi="宋体" w:eastAsia="宋体"/>
          <w:b w:val="0"/>
          <w:kern w:val="0"/>
          <w:sz w:val="24"/>
          <w:szCs w:val="24"/>
        </w:rPr>
        <w:t>6.3 膨胀机</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6.3.1 膨胀机入口应设置过滤器，并定期清洗。</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6.3.2 透平膨胀机应具有密封气压力与油压的差压联锁保护装置。密封气压力调至规定值方能启动油泵。</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6.3.3 运转中出现冰、二氧化碳等堵塞喷嘴时，应立即停车加温解冻，解冻过程仍须供油和密封气。空气轴承透平膨胀机的加温解冻，按其操作说明书规定执行。</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6.3.4 膨胀机出现超速、异常声音、油压过低、轴承温度高等情况时，应迅速关闭入口阀，停车检查处理。</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6.3.5 透平膨胀机应设超速报警和自动停车装置，入口前应设紧急切断阀。转速表必须定期进行校验。</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6.3.6 静压空气轴承透平膨胀机启动和停车时，应缓慢进行，开车时升压或停车时的降压操作过程应控制在1～2min内，严禁在管路发生共振的转速点停留。轴承气压过低，应紧急停车检查处理。</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6.3.7 非带液膨胀机应保证进口温度在正常范围内，膨胀后气体温度应保持一定的过热度，严格控制机后温度保证气体不液化。</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6.3.8 风机制动的膨胀机，运行中不准关闭风机的进、排气阀门。应定期清洗制动风机入口的空气过滤器。</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6.3.9 活塞式膨胀机的防飞车装置应完好、可靠，在突然停电或活塞式膨胀机停车时，应首先关闭高压气体进口阀。</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增压透平膨胀机应设防喘振保护装置。</w:t>
      </w:r>
    </w:p>
    <w:p>
      <w:pPr>
        <w:pStyle w:val="3"/>
        <w:adjustRightInd w:val="0"/>
        <w:snapToGrid w:val="0"/>
        <w:spacing w:before="0" w:after="0" w:line="360" w:lineRule="auto"/>
        <w:ind w:firstLine="480" w:firstLineChars="200"/>
        <w:rPr>
          <w:rFonts w:hint="eastAsia" w:ascii="宋体" w:hAnsi="宋体" w:eastAsia="宋体"/>
          <w:b w:val="0"/>
          <w:kern w:val="0"/>
          <w:sz w:val="24"/>
          <w:szCs w:val="24"/>
        </w:rPr>
      </w:pPr>
      <w:r>
        <w:rPr>
          <w:rFonts w:hint="eastAsia" w:ascii="宋体" w:hAnsi="宋体" w:eastAsia="宋体"/>
          <w:b w:val="0"/>
          <w:kern w:val="0"/>
          <w:sz w:val="24"/>
          <w:szCs w:val="24"/>
        </w:rPr>
        <w:t>6.4 液氧泵</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6.4.1 液氧泵的入口应设过滤器。</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6.4.2 液氧泵应设出口压力、轴承温度过高声光报警和自动停车装置。</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6.4.3 液氧泵启动前，应用干燥空气或氮气吹扫后再盘车检查。开车前应先开密封气，密封气压力应在规定范围内，经充分预冷后启动。运行中不准有液氧泄漏。停车后应立即排液，静置后解冻。</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6.4.4 液氧泵轴承应使用专用油脂，并严格控制加油量，按规定时间清洗轴承和更换油脂。</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6.4.5 中、高压液氧泵与气化器间应设安全保护联锁装置。</w:t>
      </w:r>
    </w:p>
    <w:p>
      <w:pPr>
        <w:pStyle w:val="3"/>
        <w:adjustRightInd w:val="0"/>
        <w:snapToGrid w:val="0"/>
        <w:spacing w:before="0" w:after="0" w:line="360" w:lineRule="auto"/>
        <w:ind w:firstLine="480" w:firstLineChars="200"/>
        <w:rPr>
          <w:rFonts w:hint="eastAsia" w:ascii="宋体" w:hAnsi="宋体" w:eastAsia="宋体"/>
          <w:b w:val="0"/>
          <w:kern w:val="0"/>
          <w:sz w:val="24"/>
          <w:szCs w:val="24"/>
        </w:rPr>
      </w:pPr>
      <w:r>
        <w:rPr>
          <w:rFonts w:hint="eastAsia" w:ascii="宋体" w:hAnsi="宋体" w:eastAsia="宋体"/>
          <w:b w:val="0"/>
          <w:kern w:val="0"/>
          <w:sz w:val="24"/>
          <w:szCs w:val="24"/>
        </w:rPr>
        <w:t>6.5 空分装置</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6.5.1 为防止空分装置液氧中的乙炔积聚，宜连续从空分装置中抽取部分液氧，其数量不低于氧产量的1%。</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6.5.2 应定期化验液氧中的乙炔、碳氢化合物和油脂等有害杂质的含量。大、中型制氧机液氧中乙炔含量不超过0.1×10</w:t>
      </w:r>
      <w:r>
        <w:rPr>
          <w:rFonts w:hint="eastAsia" w:ascii="宋体" w:hAnsi="宋体" w:cs="宋体"/>
          <w:kern w:val="0"/>
          <w:sz w:val="24"/>
          <w:vertAlign w:val="superscript"/>
        </w:rPr>
        <w:t>-6</w:t>
      </w:r>
      <w:r>
        <w:rPr>
          <w:rFonts w:hint="eastAsia" w:ascii="宋体" w:hAnsi="宋体" w:cs="宋体"/>
          <w:kern w:val="0"/>
          <w:sz w:val="24"/>
        </w:rPr>
        <w:t>，小型制氧机的不应超过1×10</w:t>
      </w:r>
      <w:r>
        <w:rPr>
          <w:rFonts w:hint="eastAsia" w:ascii="宋体" w:hAnsi="宋体" w:cs="宋体"/>
          <w:kern w:val="0"/>
          <w:sz w:val="24"/>
          <w:vertAlign w:val="superscript"/>
        </w:rPr>
        <w:t>-6</w:t>
      </w:r>
      <w:r>
        <w:rPr>
          <w:rFonts w:hint="eastAsia" w:ascii="宋体" w:hAnsi="宋体" w:cs="宋体"/>
          <w:kern w:val="0"/>
          <w:sz w:val="24"/>
        </w:rPr>
        <w:t>，超过时应排放；大、中型制氧机液氧中的碳氢化合物总含量不应超过100×10</w:t>
      </w:r>
      <w:r>
        <w:rPr>
          <w:rFonts w:hint="eastAsia" w:ascii="宋体" w:hAnsi="宋体" w:cs="宋体"/>
          <w:kern w:val="0"/>
          <w:sz w:val="24"/>
          <w:vertAlign w:val="superscript"/>
        </w:rPr>
        <w:t>-6</w:t>
      </w:r>
      <w:r>
        <w:rPr>
          <w:rFonts w:hint="eastAsia" w:ascii="宋体" w:hAnsi="宋体" w:cs="宋体"/>
          <w:kern w:val="0"/>
          <w:sz w:val="24"/>
        </w:rPr>
        <w:t>，超过时应排放；大型空分降膜式主冷还应对氧化亚氮进行监控。此外，还应严格按设备操作说明书和生产单位安全技术操作规程的规定执行。</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6.5.3 排放液氧、液氮、液空或液氩，应向空中气化排放，并排放至安全处。</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6.5.4 浸浴式主冷应全浸式操作，严格控制主冷液面，避免较大波动。</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6.5.5 空气预冷系统应设空气冷却塔水位报警联锁系统及出口空气温度监测装置。</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6.5.6 各种吸附器必须按规定的使用周期再生，发现杂质含量超标应提前倒换。</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6.5.7 分子筛吸附器运行中必须严格执行再生制度，不准随意延长吸附器工作周期。分子筛吸附器出口应设二氧化碳监测仪，宜设微量水分析仪。再生温度、气量、冷吹温度应按规定控制，蒸汽加热器排气出口宜设微量水分析仪。</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6.5.8 可逆式换热器或蓄冷器，其阻力、中部温度与冷端温差均应控制在规定范围内，有足够的返流气体量，保证自清除效果。</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6.5.9 中、高压空分装置的精馏塔、吸附器及换热器，应根据实际情况定期排放、吹刷和清洗，带油较严重的应缩短周期。</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运行过程中应保持温度、压力、流量、液面等工艺参数的相对稳定，避免快速大幅度增减空气量、氧气量和氮气量，防止产生液泛等故障。</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空分冷箱应充入干燥氮气保持正压，并经常检查。大、中型空分冷箱应设有正、负压力表、呼吸阀、防爆板等安全装置。</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空分冷箱上的防爆板动作或喷出珠光砂，应立即检查，必要时停车处理。</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空分装置停车时，应立即关闭氧、氮产品送出阀，并应有自动信号送至有关岗位。</w:t>
      </w:r>
    </w:p>
    <w:p>
      <w:pPr>
        <w:pStyle w:val="3"/>
        <w:adjustRightInd w:val="0"/>
        <w:snapToGrid w:val="0"/>
        <w:spacing w:before="0" w:after="0" w:line="360" w:lineRule="auto"/>
        <w:ind w:firstLine="480" w:firstLineChars="200"/>
        <w:rPr>
          <w:rFonts w:hint="eastAsia" w:ascii="宋体" w:hAnsi="宋体" w:eastAsia="宋体"/>
          <w:b w:val="0"/>
          <w:kern w:val="0"/>
          <w:sz w:val="24"/>
          <w:szCs w:val="24"/>
        </w:rPr>
      </w:pPr>
      <w:r>
        <w:rPr>
          <w:rFonts w:hint="eastAsia" w:ascii="宋体" w:hAnsi="宋体" w:eastAsia="宋体"/>
          <w:b w:val="0"/>
          <w:kern w:val="0"/>
          <w:sz w:val="24"/>
          <w:szCs w:val="24"/>
        </w:rPr>
        <w:t>6.6 空分装置解冻及吹除</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6.6.1 空分装置解冻停车，应排净液体，经静置冷吹后，方准用热气体加热，其加热温度按设备操作说明书规定控制。</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6.6.2 空分装置加热应用无油干燥空气或氮气进行，加热气体压力应控制在规定范围内。</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6.6.3</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6.6.4 空分装置在采用氮气进行大加热或单体局部加热时，应挂警示牌，排放口附近不准有人停留。</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6.6.5 加热冷箱内珠光砂时，不准有人在冷箱内停留、检查或维修，必要时应采取特殊措施。</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6.6.6 吹除操作应分段进行，保证所有分析阀、压力表、液面计、阻力计等小管和吹除阀畅通无阻，至吹出的气体洁净无污物为止。冷开车前，抽查上述阀门排除气体的露点不高于-45℃为合格。</w:t>
      </w:r>
    </w:p>
    <w:p>
      <w:pPr>
        <w:pStyle w:val="3"/>
        <w:adjustRightInd w:val="0"/>
        <w:snapToGrid w:val="0"/>
        <w:spacing w:before="0" w:after="0" w:line="360" w:lineRule="auto"/>
        <w:ind w:firstLine="480" w:firstLineChars="200"/>
        <w:rPr>
          <w:rFonts w:hint="eastAsia" w:ascii="宋体" w:hAnsi="宋体" w:eastAsia="宋体"/>
          <w:b w:val="0"/>
          <w:kern w:val="0"/>
          <w:sz w:val="24"/>
          <w:szCs w:val="24"/>
        </w:rPr>
      </w:pPr>
      <w:r>
        <w:rPr>
          <w:rFonts w:hint="eastAsia" w:ascii="宋体" w:hAnsi="宋体" w:eastAsia="宋体"/>
          <w:b w:val="0"/>
          <w:kern w:val="0"/>
          <w:sz w:val="24"/>
          <w:szCs w:val="24"/>
        </w:rPr>
        <w:t>6.7 低温液体贮存输送和汽化装置</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6.7.1 保持粉末真空绝热式低温液体储罐夹层的真空度，使其绝对压力保持在1.36～6.8Pa范围内。</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6.7.2 粉末绝热低温液体储罐，应向绝热层充入无油干燥氮气，并保持正压。低温液体贮罐应定期检验安全阀，内、外筒呼吸阀，定期检查定压排气调节阀，内外筒间密封气调节阀。</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6.7.3 严禁低温液体储罐的使用压力超过设计的工作压力。粉末绝热平底低温液体储罐应保证呼吸阀完整，控制排液速度，防止罐内产生负压，抽憋内胆。</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6.7.4 液氧储罐液氧中乙炔含量，每周至少化验一次，其值超过0.1×10</w:t>
      </w:r>
      <w:r>
        <w:rPr>
          <w:rFonts w:hint="eastAsia" w:ascii="宋体" w:hAnsi="宋体" w:cs="宋体"/>
          <w:kern w:val="0"/>
          <w:sz w:val="24"/>
          <w:vertAlign w:val="superscript"/>
        </w:rPr>
        <w:t>-6</w:t>
      </w:r>
      <w:r>
        <w:rPr>
          <w:rFonts w:hint="eastAsia" w:ascii="宋体" w:hAnsi="宋体" w:cs="宋体"/>
          <w:kern w:val="0"/>
          <w:sz w:val="24"/>
        </w:rPr>
        <w:t>时，空分装置应连续向储罐输送液氧，以稀释乙炔浓度至小于0.1×10</w:t>
      </w:r>
      <w:r>
        <w:rPr>
          <w:rFonts w:hint="eastAsia" w:ascii="宋体" w:hAnsi="宋体" w:cs="宋体"/>
          <w:kern w:val="0"/>
          <w:sz w:val="24"/>
          <w:vertAlign w:val="superscript"/>
        </w:rPr>
        <w:t>-6</w:t>
      </w:r>
      <w:r>
        <w:rPr>
          <w:rFonts w:hint="eastAsia" w:ascii="宋体" w:hAnsi="宋体" w:cs="宋体"/>
          <w:kern w:val="0"/>
          <w:sz w:val="24"/>
        </w:rPr>
        <w:t>，并启动液氧泵和气化装置向外输送。</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6.7.5 低温液氧储罐宜定期进行加温吹扫，彻底清除碳氢化合物等有害杂质。使用液氧储罐前，应用无油干燥氮气吹刷干净，在罐内气体露点不高于-45℃，方准投入使用。</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6.7.6 低温液体气化器出口应设温度过低报警联锁装置，气化器出口的气体温度应不</w:t>
      </w:r>
    </w:p>
    <w:p>
      <w:pPr>
        <w:widowControl/>
        <w:adjustRightInd w:val="0"/>
        <w:snapToGrid w:val="0"/>
        <w:spacing w:line="360" w:lineRule="auto"/>
        <w:jc w:val="left"/>
        <w:rPr>
          <w:rFonts w:hint="eastAsia" w:ascii="宋体" w:hAnsi="宋体" w:cs="宋体"/>
          <w:kern w:val="0"/>
          <w:sz w:val="24"/>
        </w:rPr>
      </w:pPr>
      <w:r>
        <w:rPr>
          <w:rFonts w:hint="eastAsia" w:ascii="宋体" w:hAnsi="宋体" w:cs="宋体"/>
          <w:kern w:val="0"/>
          <w:sz w:val="24"/>
        </w:rPr>
        <w:t>低于-10℃。</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6.7.7 水浴蒸发器水位，应不低于规定线。还应设水温调节控制系统，要求水温应保持在40℃以上。水浴式汽化器应定期对盘管进行查漏，汽化器的水温及出口水温及压力联锁报警装置应定期效验。</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6.7.8 当低温液体贮罐出现外筒体结露时，应查明原因，常压贮罐采取补充珠光砂或更换珠光砂，真空绝热贮罐采用抽真空等措施排除故障。</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当低温液体贮罐出现外筒体大面积结露或结霜时，应立即停用，排液加温至常温，可靠切断贮罐与外部连接的管道，进行查漏。当进入容器内检修时应遵守9.1.2</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6.7.9 真空管道安全阀应定期校验，真空管道及真空软管出现大面积结霜时，不宜继续使用。</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低温液体储罐的最大充装量为几何容积的95%。</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低温液体泵出口止回阀应定期进行检修调整。</w:t>
      </w:r>
    </w:p>
    <w:p>
      <w:pPr>
        <w:pStyle w:val="3"/>
        <w:adjustRightInd w:val="0"/>
        <w:snapToGrid w:val="0"/>
        <w:spacing w:before="0" w:after="0" w:line="360" w:lineRule="auto"/>
        <w:ind w:firstLine="480" w:firstLineChars="200"/>
        <w:rPr>
          <w:rFonts w:hint="eastAsia" w:ascii="宋体" w:hAnsi="宋体" w:eastAsia="宋体"/>
          <w:b w:val="0"/>
          <w:kern w:val="0"/>
          <w:sz w:val="24"/>
          <w:szCs w:val="24"/>
        </w:rPr>
      </w:pPr>
      <w:r>
        <w:rPr>
          <w:rFonts w:hint="eastAsia" w:ascii="宋体" w:hAnsi="宋体" w:eastAsia="宋体"/>
          <w:b w:val="0"/>
          <w:kern w:val="0"/>
          <w:sz w:val="24"/>
          <w:szCs w:val="24"/>
        </w:rPr>
        <w:t>6.8 液氧、液氮、液氩的槽车输送</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6.8.1 液氧槽车应符合《液化气体汽车罐车安全监察规程》和JB 6898中的有关规定。</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6.8.2 液氧槽车应配装安全阀、液面计、压力表、防爆片和导静电等安全装置。</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6.8.3 槽车首次灌装液氧前,应使用无油干燥氮气吹扫,并经充分预冷。灌装的液氧不准超过储罐容积90%。接头软管必须专用,严禁油脂污染。</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6.8.4 灌装液氧时应防止外溢,并有专人在场监护,灌装过程槽车应为熄火状态。</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6.8.5 行驶的液氧槽车,应避开闹市区和人口稠密区,并限速行驶。必须通过闹市区和人口稠密区时不准停靠。</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6.8.6 液氧槽车行驶时,应监视槽内压力,严禁超过规定值。放出液氧时,应控制排放速度。液氧槽车内有液氧时,不宜修理汽车。</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6.8.7 液氧槽车内液氧不宜长期储存,更不应混装其他液体,漆色标志应符合安全规定。</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6.8.8 液氧槽车应监视其保温层真空度,当表面结霜、真空度下降时,应及时处理,严重时停止使用。</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6.8.9 液氮、液氩槽车的要求应参照执行液氧槽车的有关规定。</w:t>
      </w:r>
    </w:p>
    <w:p>
      <w:pPr>
        <w:pStyle w:val="3"/>
        <w:adjustRightInd w:val="0"/>
        <w:snapToGrid w:val="0"/>
        <w:spacing w:before="0" w:after="0" w:line="360" w:lineRule="auto"/>
        <w:ind w:firstLine="480" w:firstLineChars="200"/>
        <w:rPr>
          <w:rFonts w:hint="eastAsia" w:ascii="宋体" w:hAnsi="宋体" w:eastAsia="宋体"/>
          <w:b w:val="0"/>
          <w:kern w:val="0"/>
          <w:sz w:val="24"/>
          <w:szCs w:val="24"/>
        </w:rPr>
      </w:pPr>
      <w:r>
        <w:rPr>
          <w:rFonts w:hint="eastAsia" w:ascii="宋体" w:hAnsi="宋体" w:eastAsia="宋体"/>
          <w:b w:val="0"/>
          <w:kern w:val="0"/>
          <w:sz w:val="24"/>
          <w:szCs w:val="24"/>
        </w:rPr>
        <w:t>6.9 氧气及相关气体充装</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6.9.1 气瓶充装和管理应符合《气瓶安全监察规程》和GB 14194中的有关规定,并必</w:t>
      </w:r>
    </w:p>
    <w:p>
      <w:pPr>
        <w:widowControl/>
        <w:adjustRightInd w:val="0"/>
        <w:snapToGrid w:val="0"/>
        <w:spacing w:line="360" w:lineRule="auto"/>
        <w:jc w:val="left"/>
        <w:rPr>
          <w:rFonts w:hint="eastAsia" w:ascii="宋体" w:hAnsi="宋体" w:cs="宋体"/>
          <w:kern w:val="0"/>
          <w:sz w:val="24"/>
        </w:rPr>
      </w:pPr>
      <w:r>
        <w:rPr>
          <w:rFonts w:hint="eastAsia" w:ascii="宋体" w:hAnsi="宋体" w:cs="宋体"/>
          <w:kern w:val="0"/>
          <w:sz w:val="24"/>
        </w:rPr>
        <w:t>须经过由特种设备安全监察机构批准,办理注册登记的单位方准进行气瓶的充装工作。气瓶充装单位应有保证充装安全的管理体系、各项管理制度，有熟悉气瓶充装安全技术的管理人员和经过专业培训的操作人员,有与所充装气体相适应的场地、设施、装备和检测手段。</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6.9.2 气瓶充装前须经专人检查,有下列情况之一者,应进行处理,否则严禁充装：</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a)漆色、字样和所装气体不符合规定或漆色、字样脱落不能识别气瓶种类的；</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b)安全部件不全、损坏和不符合规定的；</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c)不能判明瓶内装有何种气体或瓶内没有余压的；</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d)钢印标记不全或不能识别的；</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e)超过检验期限的；</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f)瓶体经外观检查有缺陷,不能保证安全使用的；</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g)瓶体和瓶阀沾有油脂或发生变形的；</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h)氢气等可燃气体气瓶首次充装,事先未经氮气置换和抽真空的。</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6.9.3 充装气瓶时,应遵守下列规定：</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a)设置充装超压报警装置,保证气瓶充装达到折合20℃时的压力,不准超过气瓶允许的工作压力；</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b)压力表、安全阀应定期校对,保持灵敏准确；</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c)使用后的瓶内,必须留有0.5MPa以上的剩余压力；</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d)气瓶的充气速度不得大于8m</w:t>
      </w:r>
      <w:r>
        <w:rPr>
          <w:rFonts w:hint="eastAsia" w:ascii="宋体" w:hAnsi="宋体" w:cs="宋体"/>
          <w:kern w:val="0"/>
          <w:sz w:val="24"/>
          <w:vertAlign w:val="superscript"/>
        </w:rPr>
        <w:t>3</w:t>
      </w:r>
      <w:r>
        <w:rPr>
          <w:rFonts w:hint="eastAsia" w:ascii="宋体" w:hAnsi="宋体" w:cs="宋体"/>
          <w:kern w:val="0"/>
          <w:sz w:val="24"/>
        </w:rPr>
        <w:t>/h,且充装时间不少于30min。开关阀应缓慢进行,充填场各部均应禁油,严禁烟火；</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e)氧气充装台所用工具、接头、阀门应采用铜质材料；</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f)充装时所用密封材料由不燃和不产生火花材料制作；</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g)严禁在压力下修理或拧动气瓶的零部件；</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h)充装间或氧气瓶着火时,应立即切断氧气的来源,积极组织抢救，并向有关部门报告；</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i)充装氧气、氮气、氩气、氢气等气体时,不准漏气；</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j)为限制气瓶充气速度,同批充装气瓶数量不准随意减少,也不准在充装中途插入空瓶充装；</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k)气瓶充装过程中,应经常使用手触摸瓶壁的方法巡回检查瓶壁温度是否正常,异常者立即停止充装；</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l)氧气和氢气必须采用防错装接头充装夹具,防止可燃气体和助燃气体混充混装。氧气和氮气不准使用同一充装线,应防止氧气与氮气混装；</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m)充装间与气体压缩间应有可靠的充装联系信号，在充装间应设有压缩机紧急停车按钮；</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n)充装氢气的充装间的照明灯及其他电气器件,都应采用防爆型；</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o)充装间的地面应平整、耐磨、防滑；</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p)用电解法制取的氢气、氧气,应严格执行定时测定氢、氧纯度的制度。当氢中含氧或氧中含氢的体积比超过0.5%时,严禁充装,同时应查明原因。</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6.9.4 氢气与氧气的充装不应设置在同一车间的充装台内。氧气充装台外应有紧急切断阀。</w:t>
      </w:r>
    </w:p>
    <w:p>
      <w:pPr>
        <w:pStyle w:val="3"/>
        <w:adjustRightInd w:val="0"/>
        <w:snapToGrid w:val="0"/>
        <w:spacing w:before="0" w:after="0" w:line="360" w:lineRule="auto"/>
        <w:ind w:firstLine="480" w:firstLineChars="200"/>
        <w:rPr>
          <w:rFonts w:hint="eastAsia" w:ascii="宋体" w:hAnsi="宋体" w:eastAsia="宋体"/>
          <w:b w:val="0"/>
          <w:kern w:val="0"/>
          <w:sz w:val="24"/>
          <w:szCs w:val="24"/>
        </w:rPr>
      </w:pPr>
      <w:r>
        <w:rPr>
          <w:rFonts w:hint="eastAsia" w:ascii="宋体" w:hAnsi="宋体" w:eastAsia="宋体"/>
          <w:b w:val="0"/>
          <w:kern w:val="0"/>
          <w:sz w:val="24"/>
          <w:szCs w:val="24"/>
        </w:rPr>
        <w:t>6.10 气瓶管理</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6.10.1 运输、储存和使用气瓶的单位应加强对检验、运输、储存和使用气瓶的安全管理：</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a)有专人负责气瓶安全工作；</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b)根据《气瓶安全监察规程》的有关规定,制定相应的安全管理制度；</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c)制定事故应急处理的措施；</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d)定期对气瓶的运输(含装卸及驾驶)、储存和使用人员进行安全技术教育；</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e)气瓶宜采用条形码等信息化管理。</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6.10.2 定期检验</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a)气瓶定期检验单位,应满足GB l2135的规定,气瓶定期检验单位与检验人员应按规定取得相应的资格证书。</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b)充装氧、氮、氩和氢等气瓶,应按GB 13004、GB/T 9251、GB/T 12137、GB 10877及GB 7l44等国家标准逐只进行严格定期检验,合格的气瓶方准继续充装气体。</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c)经检验,不符合标准规定的气瓶应报废,报废气瓶应进行破坏性处理,销毁方式为压扁或锯切。</w:t>
      </w:r>
    </w:p>
    <w:p>
      <w:pPr>
        <w:pStyle w:val="3"/>
        <w:adjustRightInd w:val="0"/>
        <w:snapToGrid w:val="0"/>
        <w:spacing w:before="0" w:after="0" w:line="360" w:lineRule="auto"/>
        <w:ind w:firstLine="480" w:firstLineChars="200"/>
        <w:rPr>
          <w:rFonts w:hint="eastAsia" w:ascii="宋体" w:hAnsi="宋体" w:eastAsia="宋体"/>
          <w:b w:val="0"/>
          <w:kern w:val="0"/>
          <w:sz w:val="24"/>
          <w:szCs w:val="24"/>
        </w:rPr>
      </w:pPr>
      <w:r>
        <w:rPr>
          <w:rFonts w:hint="eastAsia" w:ascii="宋体" w:hAnsi="宋体" w:eastAsia="宋体"/>
          <w:b w:val="0"/>
          <w:kern w:val="0"/>
          <w:sz w:val="24"/>
          <w:szCs w:val="24"/>
        </w:rPr>
        <w:t>6.11 仪表控制系统</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6.11.1 采用集散控制系统,应就地设停车按钮。</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6.11.2 新设备投产前或检修后,必须根据工艺要求进行测试和模拟试验,确保各种联锁控制达到设计要求。阀门开关到位,保证各种联锁保护控制动作灵敏、可靠。</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6.11.3 控制系统工艺组态后,应进行功能测试,确认自动控制警报系统灵敏可靠,方</w:t>
      </w:r>
    </w:p>
    <w:p>
      <w:pPr>
        <w:widowControl/>
        <w:adjustRightInd w:val="0"/>
        <w:snapToGrid w:val="0"/>
        <w:spacing w:line="360" w:lineRule="auto"/>
        <w:jc w:val="left"/>
        <w:rPr>
          <w:rFonts w:hint="eastAsia" w:ascii="宋体" w:hAnsi="宋体" w:cs="宋体"/>
          <w:kern w:val="0"/>
          <w:sz w:val="24"/>
        </w:rPr>
      </w:pPr>
      <w:r>
        <w:rPr>
          <w:rFonts w:hint="eastAsia" w:ascii="宋体" w:hAnsi="宋体" w:cs="宋体"/>
          <w:kern w:val="0"/>
          <w:sz w:val="24"/>
        </w:rPr>
        <w:t>可投入使用。</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6.11.4 控制电缆应按要求进行屏蔽,接线牢固,导除静电,接地电阻小于4Ω,绝缘良好,电缆应避高温及潮湿,并应按期进行检查。</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6.11.5 各类变送器不应安装温差大和振动大的部位。</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6.11.6 在生产过程中,不应随意更改硬件设置（如模件离线等）,非经允许不准随意对软件进行修改。</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6.11.7 集散控制系统的设备及带微处理机的分析仪表,其工作环境温度要求低于30℃,机柜温度低于40℃。</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6.11.8 集散控制系统所需不间断电源(UPS)，应时刻处于正常状态。</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6.11.9 定期检验仪表,经常检查仪表的运行情况,不准超量程运行。严禁无关人员乱动仪表设备。</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校对氧、氢分析仪时,室内严禁烟火,氧、氢标准气瓶放置应保持一定距离。</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定期检查系统中所有联锁装置、事故停车装置,并保证完好。</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在开车或运行中发生联锁停车时,应认真检查原因,不准随意取消联锁和改变保护设定值。</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分析仪表</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a)分析仪表的标准气瓶间,宜与分析仪表室隔开,用于充装标准气或载气的容器、钢瓶、接头、管道、垫圈等连接件,应保证密封</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b)分析设备启动前,必须对标准气及载气管道和设备进行吹扫。</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c)在使用氢气等易燃气体前,应先用纯氮气对系统进行吹扫,置换合格后,方准投入使用。</w:t>
      </w:r>
    </w:p>
    <w:p>
      <w:pPr>
        <w:pStyle w:val="3"/>
        <w:adjustRightInd w:val="0"/>
        <w:snapToGrid w:val="0"/>
        <w:spacing w:before="0" w:after="0" w:line="360" w:lineRule="auto"/>
        <w:ind w:firstLine="480" w:firstLineChars="200"/>
        <w:rPr>
          <w:rFonts w:hint="eastAsia" w:ascii="宋体" w:hAnsi="宋体" w:eastAsia="宋体"/>
          <w:b w:val="0"/>
          <w:kern w:val="0"/>
          <w:sz w:val="24"/>
          <w:szCs w:val="24"/>
        </w:rPr>
      </w:pPr>
      <w:r>
        <w:rPr>
          <w:rFonts w:hint="eastAsia" w:ascii="宋体" w:hAnsi="宋体" w:eastAsia="宋体"/>
          <w:b w:val="0"/>
          <w:kern w:val="0"/>
          <w:sz w:val="24"/>
          <w:szCs w:val="24"/>
        </w:rPr>
        <w:t>6.12 电气设备控制</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6.12.1 凡在易燃、易爆区域不应任意接临时开关、按钮和一切电气设备。</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6.12.2 主电控制室内，应设置本厂（站、车间）主要电气设备运行控制、运行指示、故障报警连锁等装置，报警系统应灵敏可靠。</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6.12.3 电动机启动过程中出现异常情况，应立即停车检查，在未查明原因处理前不准再次启动。</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6.12.4 电动机的保护装置与保护系统应有专人管理和定期检验，专门记录并保存系统的重要数据，不准随意改动保护装置的设定值与保护系统的重要参数。</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6.12.5 电气设备新安装或检修后送电前，必须进行耐压、升温、绝缘保护等试验。</w:t>
      </w:r>
    </w:p>
    <w:p>
      <w:pPr>
        <w:widowControl/>
        <w:adjustRightInd w:val="0"/>
        <w:snapToGrid w:val="0"/>
        <w:spacing w:line="360" w:lineRule="auto"/>
        <w:jc w:val="left"/>
        <w:rPr>
          <w:rFonts w:hint="eastAsia" w:ascii="宋体" w:hAnsi="宋体" w:cs="宋体"/>
          <w:kern w:val="0"/>
          <w:sz w:val="24"/>
        </w:rPr>
      </w:pPr>
      <w:r>
        <w:rPr>
          <w:rFonts w:hint="eastAsia" w:ascii="宋体" w:hAnsi="宋体" w:cs="宋体"/>
          <w:kern w:val="0"/>
          <w:sz w:val="24"/>
        </w:rPr>
        <w:t>控制系统应进行电路测试、功能检测，确保控制灵敏、可靠。运行后，应按规定周期进行停电检查、清扫。</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6.12.6 对各种电气安全信号装置要定期检查，执行巡回检查制度，在带电线路上发现有火花、火焰时，应立即与电工联系，断开线路，采取措施处理故障或灭火。</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6.12.7 电缆沟内、井内禁止有杂物及废油。电缆保护区内禁止修建临时性建筑或仓库，禁止堆放砖瓦、建筑器材、钢锭、垃圾、酸、碱等对电缆有害的物品以及易燃材料。</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6.12.8 电气设备和装置的外壳及金属外壳的电缆，必须采取保护性接地和接零，接地电阻不应大于4Ω。</w:t>
      </w:r>
    </w:p>
    <w:p>
      <w:pPr>
        <w:pStyle w:val="2"/>
        <w:adjustRightInd w:val="0"/>
        <w:snapToGrid w:val="0"/>
        <w:spacing w:before="0" w:after="0" w:line="360" w:lineRule="auto"/>
        <w:ind w:firstLine="480" w:firstLineChars="200"/>
        <w:rPr>
          <w:rFonts w:hint="eastAsia" w:ascii="宋体" w:hAnsi="宋体"/>
          <w:b w:val="0"/>
          <w:kern w:val="0"/>
          <w:sz w:val="24"/>
          <w:szCs w:val="24"/>
        </w:rPr>
      </w:pPr>
      <w:r>
        <w:rPr>
          <w:rFonts w:hint="eastAsia" w:ascii="宋体" w:hAnsi="宋体"/>
          <w:b w:val="0"/>
          <w:kern w:val="0"/>
          <w:sz w:val="24"/>
          <w:szCs w:val="24"/>
        </w:rPr>
        <w:t>7 相关气体生产和设备</w:t>
      </w:r>
    </w:p>
    <w:p>
      <w:pPr>
        <w:pStyle w:val="3"/>
        <w:adjustRightInd w:val="0"/>
        <w:snapToGrid w:val="0"/>
        <w:spacing w:before="0" w:after="0" w:line="360" w:lineRule="auto"/>
        <w:ind w:firstLine="480" w:firstLineChars="200"/>
        <w:rPr>
          <w:rFonts w:ascii="宋体" w:hAnsi="宋体" w:eastAsia="宋体"/>
          <w:b w:val="0"/>
          <w:kern w:val="0"/>
          <w:sz w:val="24"/>
          <w:szCs w:val="24"/>
        </w:rPr>
      </w:pPr>
      <w:r>
        <w:rPr>
          <w:rFonts w:hint="eastAsia" w:ascii="宋体" w:hAnsi="宋体" w:eastAsia="宋体"/>
          <w:b w:val="0"/>
          <w:kern w:val="0"/>
          <w:sz w:val="24"/>
          <w:szCs w:val="24"/>
        </w:rPr>
        <w:t>7.1 氮气</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7.1.1 应选用无油润滑型氮压机。氮压机应有完善的保护系统。</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7.1.2 氮压站与空分主控室应设有可靠的停车报警联系信号或停车联锁装置，并建立联系制度。</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7.1.3 氮压机运转后，应对机后出口氮气进行分析，纯度合格后方准送入管网。主要氮气用户入口处，宜建立完善的纯度监测和保护系统。</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7.1.4 新建和停产检修后再投入生产的氮气管道及设备，应经氮气吹扫置换合格后方准投入使用。</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7.1.5 氮气管道不准敷设在通行地沟内。</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7.1.6 各种使用氮气的场所，应定期分析周围大气的含氧量，其浓度不应低于19.5%。</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7.1.7 氮气宜高空排放。氮气排放口附近应挂警示牌，对地坑排放应设置警戒线，并悬挂“禁止入内”标志牌。</w:t>
      </w:r>
    </w:p>
    <w:p>
      <w:pPr>
        <w:pStyle w:val="3"/>
        <w:adjustRightInd w:val="0"/>
        <w:snapToGrid w:val="0"/>
        <w:spacing w:before="0" w:after="0" w:line="360" w:lineRule="auto"/>
        <w:ind w:firstLine="480" w:firstLineChars="200"/>
        <w:rPr>
          <w:rFonts w:hint="eastAsia" w:ascii="宋体" w:hAnsi="宋体" w:eastAsia="宋体"/>
          <w:b w:val="0"/>
          <w:kern w:val="0"/>
          <w:sz w:val="24"/>
          <w:szCs w:val="24"/>
        </w:rPr>
      </w:pPr>
      <w:r>
        <w:rPr>
          <w:rFonts w:hint="eastAsia" w:ascii="宋体" w:hAnsi="宋体" w:eastAsia="宋体"/>
          <w:b w:val="0"/>
          <w:kern w:val="0"/>
          <w:sz w:val="24"/>
          <w:szCs w:val="24"/>
        </w:rPr>
        <w:t>7.2 氩气及稀有气体</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7.2.1 使用氢气的氩净化间，其电器、设备、装置应符合4.6的防爆要求。</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7.2.2 氩净化设备及催化反应炉在投产前不得先加氢气，只有在粗氩中含氧量小于3%后，方准加氢。</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7.2.3 催化反应炉温度高于500℃时，应停止加氢。氩净化设备停车前，必须停止向粗氩中加氢，并关闭氢气手动切断阀。</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催化反应炉的爆破片应符合安全要求。</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7.2.4 充装冷冻瓶前后，应称量，严禁超装。充装后应立即复热气化充瓶，直至常温。严禁存留低温液体。</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冷冻瓶气化时，应先用凉水浇淋，缓慢气化，防止超压。</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7.2.5 更换氪、氙系统的设备零件，应严格脱脂。</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7.2.6 在氖、氦生产中，粗氖、粗氦中的含氢量不宜超过5%。加氧量应按比例进行，过量氧控制在0.5%～1.0%范围内。</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7.2.7 在氪、氙生产的除甲烷系统中，接触炉的温度应保持在450～550℃范围内，除甲烷后的贫氪、氙气体中甲烷含量不应高于1.0×10</w:t>
      </w:r>
      <w:r>
        <w:rPr>
          <w:rFonts w:hint="eastAsia" w:ascii="宋体" w:hAnsi="宋体" w:cs="宋体"/>
          <w:kern w:val="0"/>
          <w:sz w:val="24"/>
          <w:vertAlign w:val="superscript"/>
        </w:rPr>
        <w:t>-6</w:t>
      </w:r>
      <w:r>
        <w:rPr>
          <w:rFonts w:hint="eastAsia" w:ascii="宋体" w:hAnsi="宋体" w:cs="宋体"/>
          <w:kern w:val="0"/>
          <w:sz w:val="24"/>
        </w:rPr>
        <w:t>。</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7.2.8 氩净化间和稀有气体间应具有良好的通风换气设施。</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7.2.9 氩气和稀有气体钢瓶应用专气专用，划分区域保存，严禁混放、混用。</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氩气和稀有气体应用专门的气相色谱仪进行杂质含量分析。</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色谱仪所用氚元件的使用、储存与运输应符合国家有关放射核素安全保护的规定。</w:t>
      </w:r>
    </w:p>
    <w:p>
      <w:pPr>
        <w:pStyle w:val="3"/>
        <w:adjustRightInd w:val="0"/>
        <w:snapToGrid w:val="0"/>
        <w:spacing w:before="0" w:after="0" w:line="360" w:lineRule="auto"/>
        <w:ind w:firstLine="480" w:firstLineChars="200"/>
        <w:rPr>
          <w:rFonts w:hint="eastAsia" w:ascii="宋体" w:hAnsi="宋体" w:eastAsia="宋体"/>
          <w:b w:val="0"/>
          <w:kern w:val="0"/>
          <w:sz w:val="24"/>
          <w:szCs w:val="24"/>
        </w:rPr>
      </w:pPr>
      <w:r>
        <w:rPr>
          <w:rFonts w:hint="eastAsia" w:ascii="宋体" w:hAnsi="宋体" w:eastAsia="宋体"/>
          <w:b w:val="0"/>
          <w:kern w:val="0"/>
          <w:sz w:val="24"/>
          <w:szCs w:val="24"/>
        </w:rPr>
        <w:t>7.3 氢气（氧气厂内部的水电解制氢）生产及设备</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7.3.1 氧气厂内氢气站的设计必须符合GB 50177的有关规定。</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7.3.2 氢气站宜设置不燃烧体的实体围墙，其高度不应小于2.5m。围墙与站内建、构筑物的间距，应不小于5m。</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7.3.3 氢气站内严禁烟火，制氢间内不准放置易燃易爆或油类物品。周围应设置明显的“严禁烟火”警戒标志。不准穿带钉鞋和化纤或其他产生静电的衣、帽等进入生产、使用氢气的现场。氢气站内严禁使用非防爆通信设备。</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7.3.4 氢气站厂房的避雷针与自然排风管口的水平距离应不小于1.5m，与机械排风管口的水平距离应不小于3.0m，与放散管的距离应不小于5.0m。</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避雷针应高出保护范围的管口1.0m以上，氢气管道进出建筑物必须接地，接地电阻应符合4.7.1的规定。</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7.3.5 氢气站内所有电器，必须符合GB 50058的有关规定，并应有良好的绝缘保护。站内部应挂设临时电气线路。</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7.3.6 电解槽内极片间的绝缘电阻应大于1kΩ；每天至少应测量一次电解槽的极间电压，并应符合有关规定。</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7.3.7 制氢设备、管道、容器上的安全水封及阻火器等安全装置，应完好、灵敏、可靠，并应定期检查。氢气洗涤器出口，湿式氢气储罐出口和进口等均应设置水封。</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7.3.8 应采用灵敏、可靠的自动控制系统，保持氢、氧分离器及洗涤器的压力平衡，最大压差不应超过规定值。</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7.3.9 制氢系统开车前，必须用氮气置换系统内的空气，并经化验合格，认真检查电极的接线是否正确，对地电阻应大于1MΩ。</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电解槽运行时，严禁用导体材料制作的工具直接接触电解槽或其他电气设备。电解槽周围地面应铺设绝缘胶板。</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对重要运行参数的监控，宜设置报警、停车联锁保护装置。操作人员应执行巡回检查制度，发现异常情况及时处理。</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宜设置氧中氢含量和氢中氧含量在线检测装置。当未设置在线检测装置时，应每小时分析一次氢气、氧气纯度，保证氢气纯度和氧气纯度均不低于99.5%。当氢气纯度小于98%时应采取措施。处理不好，应立即停止运行，排除故障后方可重新投入运行。</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氢气管道宜架空敷设。在氢气管道低点处设排水装置。在管道最高点处应设放散管，并在管口处设阻火器。</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严禁氢气管道穿过不使用氢气的房间。</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氢气管道安装后，应进行压力试验、气密性试验和泄漏量试验，试验介质和试验压力应符合GB 50177的有关规定。</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新安装盒停产检修后再投入生产的轻骑管道应吹扫处理后，方可投入使用。送氢气前应先用纯氮气吹扫管道、容器内的空气，再用氢气置换氮气后，方可投入正常生产运行。</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湿式氢气储罐钟罩位置应有标尺显示高低。每小时应检查一次，并设置超高、过低的报警装置。</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氢气管道及储罐的接地应良好，法兰连接应设导体跨接，其跨接电阻不大于0.03Ω。</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氢气瓶应漆成淡绿色，并用红漆标明“氢气”字样。严禁氢气瓶与其他气瓶混用、混放、混装，应避免曝晒和剧烈碰撞。新气瓶应用氮气置空气，然后抽真空或用氢气置换氮气后方可使用。</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氢气使用时，严禁与空气、氧气等气体混合而形成爆炸气体。</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氢气所用的仪表及阀门等零部件的密封必须良好，并定期检查，发现漏点应及时处理。</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室内氢气易泄漏和积聚处，应设置浓度报警装置。</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氢气系统应设氮气置换吹扫接头，使用时用软管与氮气管道连接，用毕拆除。</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氢气站严禁使用明火和电热散热器取暖。</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接触氢气的阀门不应采用铜和铜合金材料。</w:t>
      </w:r>
    </w:p>
    <w:p>
      <w:pPr>
        <w:pStyle w:val="2"/>
        <w:adjustRightInd w:val="0"/>
        <w:snapToGrid w:val="0"/>
        <w:spacing w:before="0" w:after="0" w:line="360" w:lineRule="auto"/>
        <w:ind w:firstLine="480" w:firstLineChars="200"/>
        <w:rPr>
          <w:rFonts w:hint="eastAsia" w:ascii="宋体" w:hAnsi="宋体"/>
          <w:b w:val="0"/>
          <w:kern w:val="0"/>
          <w:sz w:val="24"/>
          <w:szCs w:val="24"/>
        </w:rPr>
      </w:pPr>
      <w:r>
        <w:rPr>
          <w:rFonts w:hint="eastAsia" w:ascii="宋体" w:hAnsi="宋体"/>
          <w:b w:val="0"/>
          <w:kern w:val="0"/>
          <w:sz w:val="24"/>
          <w:szCs w:val="24"/>
        </w:rPr>
        <w:t>8 氧气管道</w:t>
      </w:r>
    </w:p>
    <w:p>
      <w:pPr>
        <w:pStyle w:val="3"/>
        <w:adjustRightInd w:val="0"/>
        <w:snapToGrid w:val="0"/>
        <w:spacing w:before="0" w:after="0" w:line="360" w:lineRule="auto"/>
        <w:ind w:firstLine="480" w:firstLineChars="200"/>
        <w:rPr>
          <w:rFonts w:ascii="宋体" w:hAnsi="宋体" w:eastAsia="宋体"/>
          <w:b w:val="0"/>
          <w:kern w:val="0"/>
          <w:sz w:val="24"/>
          <w:szCs w:val="24"/>
        </w:rPr>
      </w:pPr>
      <w:r>
        <w:rPr>
          <w:rFonts w:hint="eastAsia" w:ascii="宋体" w:hAnsi="宋体" w:eastAsia="宋体"/>
          <w:b w:val="0"/>
          <w:kern w:val="0"/>
          <w:sz w:val="24"/>
          <w:szCs w:val="24"/>
        </w:rPr>
        <w:t>8.1 管道布置及安全间距</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8.1.1 氧气管道必须架设在不燃烧体的支架上。</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8.1.2 架空氧气管道应在管道分叉处、与电力架空电缆的交叉处、无分叉管道每隔80～100m处以及进出装置或设施等处，设置防雷、防静电接地措施。</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8.1.3 出氧气厂（站、车间）边界阀门后、氧气干管送往一个系统支管阀门后、进车间阀门后、调节阀组前和调节阀前、后的氧气管道宜设阻火铜管段。</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当氧气调节阀组设置独立阀门室或防护墙时，手动阀门的阀杆宜伸出防护墙外操作。若不单独设置阀门室或防护墙时，氧气调节阀前后8倍调节阀公称直径的范围内，应采用铜合金（含铝铜合金除外）或镍基合金材质管道。</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8.1.4 氧气管道严禁穿过生活间、办公室，不宜穿过不使用氧气的房间，若必须穿过时，则该房间内应采取防止氧气泄漏等措施。</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8.1.5 氧气管道不宜穿过高温及火焰区域，必须通过时，应在该管段增设隔热措施，管壁温度不应超过70℃。严禁明火及油污靠近氧气管道及阀门。</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8.1.6 氧气管道的弯头、分岔头不应与阀门出口直接相连。调节阀组、干管阀门、供一个系统的支管阀门、车间入口阀门，其出口侧的管道宜有长度不小于5倍管外径且不小于1.5m的直管段。</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8.1.7 供切焊用氧气支管与切焊工具或设备用软管连接时，供氧阀门及切断阀应设在用不燃烧体材料制作的保护箱内。</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8.1.8 氧气管道宜架空敷设。氧气管道可沿生产氧气或使用氧气的建筑物构件上敷设，厂房内架空氧气管道的法兰、螺纹、阀门等易泄漏处下方，不应有建筑物。</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8.1.9 架空氧气管道与建、构筑物特定地点的最小间距要求应按表6执行。</w:t>
      </w:r>
    </w:p>
    <w:p>
      <w:pPr>
        <w:widowControl/>
        <w:adjustRightInd w:val="0"/>
        <w:snapToGrid w:val="0"/>
        <w:spacing w:line="360" w:lineRule="auto"/>
        <w:ind w:firstLine="360" w:firstLineChars="150"/>
        <w:jc w:val="left"/>
        <w:rPr>
          <w:rFonts w:ascii="宋体" w:hAnsi="宋体" w:cs="宋体"/>
          <w:vanish/>
          <w:kern w:val="0"/>
          <w:sz w:val="28"/>
          <w:szCs w:val="28"/>
        </w:rPr>
      </w:pPr>
      <w:r>
        <w:rPr>
          <w:rFonts w:hint="eastAsia" w:ascii="宋体" w:hAnsi="宋体" w:cs="宋体"/>
          <w:kern w:val="0"/>
          <w:sz w:val="24"/>
        </w:rPr>
        <w:t>表6 架空氧气管道、管架与建筑物、构筑物、铁路、道路等之间的最小净距 单位为米</w:t>
      </w:r>
    </w:p>
    <w:tbl>
      <w:tblPr>
        <w:tblStyle w:val="5"/>
        <w:tblW w:w="5000" w:type="pct"/>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15" w:type="dxa"/>
          <w:left w:w="15" w:type="dxa"/>
          <w:bottom w:w="15" w:type="dxa"/>
          <w:right w:w="15" w:type="dxa"/>
        </w:tblCellMar>
      </w:tblPr>
      <w:tblGrid>
        <w:gridCol w:w="4077"/>
        <w:gridCol w:w="2743"/>
        <w:gridCol w:w="2564"/>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2172" w:type="pct"/>
            <w:tcBorders>
              <w:top w:val="single" w:color="auto" w:sz="12" w:space="0"/>
              <w:left w:val="single" w:color="auto" w:sz="12" w:space="0"/>
              <w:bottom w:val="outset" w:color="auto" w:sz="6" w:space="0"/>
              <w:right w:val="outset" w:color="auto" w:sz="6" w:space="0"/>
            </w:tcBorders>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名  称</w:t>
            </w:r>
          </w:p>
        </w:tc>
        <w:tc>
          <w:tcPr>
            <w:tcW w:w="1462" w:type="pct"/>
            <w:tcBorders>
              <w:top w:val="single" w:color="auto" w:sz="12" w:space="0"/>
              <w:left w:val="outset" w:color="auto" w:sz="6" w:space="0"/>
              <w:bottom w:val="outset" w:color="auto" w:sz="6" w:space="0"/>
              <w:right w:val="outset" w:color="auto" w:sz="6" w:space="0"/>
            </w:tcBorders>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最小水平净距</w:t>
            </w:r>
          </w:p>
        </w:tc>
        <w:tc>
          <w:tcPr>
            <w:tcW w:w="1366" w:type="pct"/>
            <w:tcBorders>
              <w:top w:val="single" w:color="auto" w:sz="12" w:space="0"/>
              <w:left w:val="outset" w:color="auto" w:sz="6" w:space="0"/>
              <w:bottom w:val="outset" w:color="auto" w:sz="6" w:space="0"/>
              <w:right w:val="single" w:color="auto" w:sz="12" w:space="0"/>
            </w:tcBorders>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最小垂直净距</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405" w:hRule="atLeast"/>
          <w:tblCellSpacing w:w="0" w:type="dxa"/>
        </w:trPr>
        <w:tc>
          <w:tcPr>
            <w:tcW w:w="2172" w:type="pct"/>
            <w:tcBorders>
              <w:top w:val="outset" w:color="auto" w:sz="6" w:space="0"/>
              <w:left w:val="single" w:color="auto" w:sz="12" w:space="0"/>
              <w:bottom w:val="outset" w:color="auto" w:sz="6" w:space="0"/>
              <w:right w:val="outset" w:color="auto" w:sz="6" w:space="0"/>
            </w:tcBorders>
          </w:tcPr>
          <w:p>
            <w:pPr>
              <w:adjustRightInd w:val="0"/>
              <w:snapToGrid w:val="0"/>
              <w:spacing w:line="360" w:lineRule="auto"/>
              <w:jc w:val="left"/>
              <w:rPr>
                <w:rFonts w:ascii="宋体" w:hAnsi="宋体" w:cs="宋体"/>
                <w:kern w:val="0"/>
                <w:szCs w:val="21"/>
              </w:rPr>
            </w:pPr>
            <w:r>
              <w:rPr>
                <w:rFonts w:hint="eastAsia" w:ascii="宋体" w:hAnsi="宋体" w:cs="宋体"/>
                <w:kern w:val="0"/>
                <w:szCs w:val="21"/>
              </w:rPr>
              <w:t>建筑物有门窗的墙壁外边或突出部分外边</w:t>
            </w:r>
          </w:p>
        </w:tc>
        <w:tc>
          <w:tcPr>
            <w:tcW w:w="1462" w:type="pct"/>
            <w:tcBorders>
              <w:top w:val="outset" w:color="auto" w:sz="6" w:space="0"/>
              <w:left w:val="outset" w:color="auto" w:sz="6" w:space="0"/>
              <w:bottom w:val="outset" w:color="auto" w:sz="6" w:space="0"/>
              <w:right w:val="outset" w:color="auto" w:sz="6" w:space="0"/>
            </w:tcBorders>
          </w:tcPr>
          <w:p>
            <w:pPr>
              <w:adjustRightInd w:val="0"/>
              <w:snapToGrid w:val="0"/>
              <w:spacing w:line="360" w:lineRule="auto"/>
              <w:jc w:val="center"/>
              <w:rPr>
                <w:rFonts w:ascii="宋体" w:hAnsi="宋体" w:cs="宋体"/>
                <w:kern w:val="0"/>
                <w:szCs w:val="21"/>
              </w:rPr>
            </w:pPr>
            <w:r>
              <w:rPr>
                <w:rFonts w:hint="eastAsia" w:ascii="宋体" w:hAnsi="宋体" w:cs="宋体"/>
                <w:kern w:val="0"/>
                <w:szCs w:val="21"/>
              </w:rPr>
              <w:t>3.0</w:t>
            </w:r>
          </w:p>
        </w:tc>
        <w:tc>
          <w:tcPr>
            <w:tcW w:w="1366" w:type="pct"/>
            <w:tcBorders>
              <w:top w:val="outset" w:color="auto" w:sz="6" w:space="0"/>
              <w:left w:val="outset" w:color="auto" w:sz="6" w:space="0"/>
              <w:bottom w:val="outset" w:color="auto" w:sz="6" w:space="0"/>
              <w:right w:val="single" w:color="auto" w:sz="12" w:space="0"/>
            </w:tcBorders>
          </w:tcPr>
          <w:p>
            <w:pPr>
              <w:adjustRightInd w:val="0"/>
              <w:snapToGrid w:val="0"/>
              <w:spacing w:line="360" w:lineRule="auto"/>
              <w:jc w:val="center"/>
              <w:rPr>
                <w:rFonts w:ascii="宋体" w:hAnsi="宋体" w:cs="宋体"/>
                <w:kern w:val="0"/>
                <w:szCs w:val="21"/>
              </w:rPr>
            </w:pPr>
            <w:r>
              <w:rPr>
                <w:rFonts w:hint="eastAsia" w:ascii="宋体" w:hAnsi="宋体" w:cs="宋体"/>
                <w:kern w:val="0"/>
                <w:szCs w:val="21"/>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390" w:hRule="atLeast"/>
          <w:tblCellSpacing w:w="0" w:type="dxa"/>
        </w:trPr>
        <w:tc>
          <w:tcPr>
            <w:tcW w:w="2172" w:type="pct"/>
            <w:tcBorders>
              <w:top w:val="outset" w:color="auto" w:sz="6" w:space="0"/>
              <w:left w:val="single" w:color="auto" w:sz="12" w:space="0"/>
              <w:bottom w:val="outset" w:color="auto" w:sz="6" w:space="0"/>
              <w:right w:val="outset" w:color="auto" w:sz="6" w:space="0"/>
            </w:tcBorders>
          </w:tcPr>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建筑物无门窗的墙壁外边或突出部分外边</w:t>
            </w:r>
          </w:p>
        </w:tc>
        <w:tc>
          <w:tcPr>
            <w:tcW w:w="1462" w:type="pct"/>
            <w:tcBorders>
              <w:top w:val="outset" w:color="auto" w:sz="6" w:space="0"/>
              <w:left w:val="outset" w:color="auto" w:sz="6" w:space="0"/>
              <w:bottom w:val="outset" w:color="auto" w:sz="6" w:space="0"/>
              <w:right w:val="outset" w:color="auto" w:sz="6"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1.5</w:t>
            </w:r>
          </w:p>
        </w:tc>
        <w:tc>
          <w:tcPr>
            <w:tcW w:w="1366" w:type="pct"/>
            <w:tcBorders>
              <w:top w:val="outset" w:color="auto" w:sz="6" w:space="0"/>
              <w:left w:val="outset" w:color="auto" w:sz="6" w:space="0"/>
              <w:bottom w:val="outset" w:color="auto" w:sz="6" w:space="0"/>
              <w:right w:val="single" w:color="auto" w:sz="12"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240" w:hRule="atLeast"/>
          <w:tblCellSpacing w:w="0" w:type="dxa"/>
        </w:trPr>
        <w:tc>
          <w:tcPr>
            <w:tcW w:w="2172" w:type="pct"/>
            <w:tcBorders>
              <w:top w:val="outset" w:color="auto" w:sz="6" w:space="0"/>
              <w:left w:val="single" w:color="auto" w:sz="12" w:space="0"/>
              <w:bottom w:val="outset" w:color="auto" w:sz="6" w:space="0"/>
              <w:right w:val="outset" w:color="auto" w:sz="6" w:space="0"/>
            </w:tcBorders>
          </w:tcPr>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非电气化铁路钢轨</w:t>
            </w:r>
          </w:p>
        </w:tc>
        <w:tc>
          <w:tcPr>
            <w:tcW w:w="1462" w:type="pct"/>
            <w:tcBorders>
              <w:top w:val="outset" w:color="auto" w:sz="6" w:space="0"/>
              <w:left w:val="outset" w:color="auto" w:sz="6" w:space="0"/>
              <w:bottom w:val="outset" w:color="auto" w:sz="6" w:space="0"/>
              <w:right w:val="outset" w:color="auto" w:sz="6"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3.0</w:t>
            </w:r>
          </w:p>
        </w:tc>
        <w:tc>
          <w:tcPr>
            <w:tcW w:w="1366" w:type="pct"/>
            <w:tcBorders>
              <w:top w:val="outset" w:color="auto" w:sz="6" w:space="0"/>
              <w:left w:val="outset" w:color="auto" w:sz="6" w:space="0"/>
              <w:bottom w:val="outset" w:color="auto" w:sz="6" w:space="0"/>
              <w:right w:val="single" w:color="auto" w:sz="12"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5.5</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240" w:hRule="atLeast"/>
          <w:tblCellSpacing w:w="0" w:type="dxa"/>
        </w:trPr>
        <w:tc>
          <w:tcPr>
            <w:tcW w:w="2172" w:type="pct"/>
            <w:tcBorders>
              <w:top w:val="outset" w:color="auto" w:sz="6" w:space="0"/>
              <w:left w:val="single" w:color="auto" w:sz="12" w:space="0"/>
              <w:bottom w:val="outset" w:color="auto" w:sz="6" w:space="0"/>
              <w:right w:val="outset" w:color="auto" w:sz="6" w:space="0"/>
            </w:tcBorders>
          </w:tcPr>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电气化铁路钢轨</w:t>
            </w:r>
          </w:p>
        </w:tc>
        <w:tc>
          <w:tcPr>
            <w:tcW w:w="1462" w:type="pct"/>
            <w:tcBorders>
              <w:top w:val="outset" w:color="auto" w:sz="6" w:space="0"/>
              <w:left w:val="outset" w:color="auto" w:sz="6" w:space="0"/>
              <w:bottom w:val="outset" w:color="auto" w:sz="6" w:space="0"/>
              <w:right w:val="outset" w:color="auto" w:sz="6"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3.0</w:t>
            </w:r>
          </w:p>
        </w:tc>
        <w:tc>
          <w:tcPr>
            <w:tcW w:w="1366" w:type="pct"/>
            <w:tcBorders>
              <w:top w:val="outset" w:color="auto" w:sz="6" w:space="0"/>
              <w:left w:val="outset" w:color="auto" w:sz="6" w:space="0"/>
              <w:bottom w:val="outset" w:color="auto" w:sz="6" w:space="0"/>
              <w:right w:val="single" w:color="auto" w:sz="12"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6.6</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405" w:hRule="atLeast"/>
          <w:tblCellSpacing w:w="0" w:type="dxa"/>
        </w:trPr>
        <w:tc>
          <w:tcPr>
            <w:tcW w:w="2172" w:type="pct"/>
            <w:tcBorders>
              <w:top w:val="outset" w:color="auto" w:sz="6" w:space="0"/>
              <w:left w:val="single" w:color="auto" w:sz="12" w:space="0"/>
              <w:bottom w:val="outset" w:color="auto" w:sz="6" w:space="0"/>
              <w:right w:val="outset" w:color="auto" w:sz="6" w:space="0"/>
            </w:tcBorders>
          </w:tcPr>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道路</w:t>
            </w:r>
          </w:p>
        </w:tc>
        <w:tc>
          <w:tcPr>
            <w:tcW w:w="1462" w:type="pct"/>
            <w:tcBorders>
              <w:top w:val="outset" w:color="auto" w:sz="6" w:space="0"/>
              <w:left w:val="outset" w:color="auto" w:sz="6" w:space="0"/>
              <w:bottom w:val="outset" w:color="auto" w:sz="6" w:space="0"/>
              <w:right w:val="outset" w:color="auto" w:sz="6"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1.0</w:t>
            </w:r>
          </w:p>
        </w:tc>
        <w:tc>
          <w:tcPr>
            <w:tcW w:w="1366" w:type="pct"/>
            <w:tcBorders>
              <w:top w:val="outset" w:color="auto" w:sz="6" w:space="0"/>
              <w:left w:val="outset" w:color="auto" w:sz="6" w:space="0"/>
              <w:bottom w:val="outset" w:color="auto" w:sz="6" w:space="0"/>
              <w:right w:val="single" w:color="auto" w:sz="12"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5.0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405" w:hRule="atLeast"/>
          <w:tblCellSpacing w:w="0" w:type="dxa"/>
        </w:trPr>
        <w:tc>
          <w:tcPr>
            <w:tcW w:w="2172" w:type="pct"/>
            <w:tcBorders>
              <w:top w:val="outset" w:color="auto" w:sz="6" w:space="0"/>
              <w:left w:val="single" w:color="auto" w:sz="12" w:space="0"/>
              <w:bottom w:val="outset" w:color="auto" w:sz="6" w:space="0"/>
              <w:right w:val="outset" w:color="auto" w:sz="6" w:space="0"/>
            </w:tcBorders>
          </w:tcPr>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人行道</w:t>
            </w:r>
          </w:p>
        </w:tc>
        <w:tc>
          <w:tcPr>
            <w:tcW w:w="1462" w:type="pct"/>
            <w:tcBorders>
              <w:top w:val="outset" w:color="auto" w:sz="6" w:space="0"/>
              <w:left w:val="outset" w:color="auto" w:sz="6" w:space="0"/>
              <w:bottom w:val="outset" w:color="auto" w:sz="6" w:space="0"/>
              <w:right w:val="outset" w:color="auto" w:sz="6"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0.5</w:t>
            </w:r>
          </w:p>
        </w:tc>
        <w:tc>
          <w:tcPr>
            <w:tcW w:w="1366" w:type="pct"/>
            <w:tcBorders>
              <w:top w:val="outset" w:color="auto" w:sz="6" w:space="0"/>
              <w:left w:val="outset" w:color="auto" w:sz="6" w:space="0"/>
              <w:bottom w:val="outset" w:color="auto" w:sz="6" w:space="0"/>
              <w:right w:val="single" w:color="auto" w:sz="12"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2.5</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405" w:hRule="atLeast"/>
          <w:tblCellSpacing w:w="0" w:type="dxa"/>
        </w:trPr>
        <w:tc>
          <w:tcPr>
            <w:tcW w:w="2172" w:type="pct"/>
            <w:tcBorders>
              <w:top w:val="outset" w:color="auto" w:sz="6" w:space="0"/>
              <w:left w:val="single" w:color="auto" w:sz="12" w:space="0"/>
              <w:bottom w:val="outset" w:color="auto" w:sz="6" w:space="0"/>
              <w:right w:val="outset" w:color="auto" w:sz="6" w:space="0"/>
            </w:tcBorders>
          </w:tcPr>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厂区围墙（中心线）</w:t>
            </w:r>
          </w:p>
        </w:tc>
        <w:tc>
          <w:tcPr>
            <w:tcW w:w="1462" w:type="pct"/>
            <w:tcBorders>
              <w:top w:val="outset" w:color="auto" w:sz="6" w:space="0"/>
              <w:left w:val="outset" w:color="auto" w:sz="6" w:space="0"/>
              <w:bottom w:val="outset" w:color="auto" w:sz="6" w:space="0"/>
              <w:right w:val="outset" w:color="auto" w:sz="6"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1.0</w:t>
            </w:r>
          </w:p>
        </w:tc>
        <w:tc>
          <w:tcPr>
            <w:tcW w:w="1366" w:type="pct"/>
            <w:tcBorders>
              <w:top w:val="outset" w:color="auto" w:sz="6" w:space="0"/>
              <w:left w:val="outset" w:color="auto" w:sz="6" w:space="0"/>
              <w:bottom w:val="outset" w:color="auto" w:sz="6" w:space="0"/>
              <w:right w:val="single" w:color="auto" w:sz="12"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420" w:hRule="atLeast"/>
          <w:tblCellSpacing w:w="0" w:type="dxa"/>
        </w:trPr>
        <w:tc>
          <w:tcPr>
            <w:tcW w:w="2172" w:type="pct"/>
            <w:tcBorders>
              <w:top w:val="outset" w:color="auto" w:sz="6" w:space="0"/>
              <w:left w:val="single" w:color="auto" w:sz="12" w:space="0"/>
              <w:bottom w:val="outset" w:color="auto" w:sz="6" w:space="0"/>
              <w:right w:val="outset" w:color="auto" w:sz="6" w:space="0"/>
            </w:tcBorders>
          </w:tcPr>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照明、电信杆柱中心</w:t>
            </w:r>
          </w:p>
        </w:tc>
        <w:tc>
          <w:tcPr>
            <w:tcW w:w="1462" w:type="pct"/>
            <w:tcBorders>
              <w:top w:val="outset" w:color="auto" w:sz="6" w:space="0"/>
              <w:left w:val="outset" w:color="auto" w:sz="6" w:space="0"/>
              <w:bottom w:val="outset" w:color="auto" w:sz="6" w:space="0"/>
              <w:right w:val="outset" w:color="auto" w:sz="6"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1.0</w:t>
            </w:r>
          </w:p>
        </w:tc>
        <w:tc>
          <w:tcPr>
            <w:tcW w:w="1366" w:type="pct"/>
            <w:tcBorders>
              <w:top w:val="outset" w:color="auto" w:sz="6" w:space="0"/>
              <w:left w:val="outset" w:color="auto" w:sz="6" w:space="0"/>
              <w:bottom w:val="outset" w:color="auto" w:sz="6" w:space="0"/>
              <w:right w:val="single" w:color="auto" w:sz="12"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224" w:hRule="atLeast"/>
          <w:tblCellSpacing w:w="0" w:type="dxa"/>
        </w:trPr>
        <w:tc>
          <w:tcPr>
            <w:tcW w:w="2172" w:type="pct"/>
            <w:tcBorders>
              <w:top w:val="outset" w:color="auto" w:sz="6" w:space="0"/>
              <w:left w:val="single" w:color="auto" w:sz="12" w:space="0"/>
              <w:bottom w:val="outset" w:color="auto" w:sz="6" w:space="0"/>
              <w:right w:val="outset" w:color="auto" w:sz="6" w:space="0"/>
            </w:tcBorders>
          </w:tcPr>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熔化金属地点和明火地点</w:t>
            </w:r>
          </w:p>
        </w:tc>
        <w:tc>
          <w:tcPr>
            <w:tcW w:w="1462" w:type="pct"/>
            <w:tcBorders>
              <w:top w:val="outset" w:color="auto" w:sz="6" w:space="0"/>
              <w:left w:val="outset" w:color="auto" w:sz="6" w:space="0"/>
              <w:bottom w:val="outset" w:color="auto" w:sz="6" w:space="0"/>
              <w:right w:val="outset" w:color="auto" w:sz="6"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10.0</w:t>
            </w:r>
          </w:p>
        </w:tc>
        <w:tc>
          <w:tcPr>
            <w:tcW w:w="1366" w:type="pct"/>
            <w:tcBorders>
              <w:top w:val="outset" w:color="auto" w:sz="6" w:space="0"/>
              <w:left w:val="outset" w:color="auto" w:sz="6" w:space="0"/>
              <w:bottom w:val="outset" w:color="auto" w:sz="6" w:space="0"/>
              <w:right w:val="single" w:color="auto" w:sz="12"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5000" w:type="pct"/>
            <w:gridSpan w:val="3"/>
            <w:tcBorders>
              <w:top w:val="outset" w:color="auto" w:sz="6" w:space="0"/>
              <w:left w:val="single" w:color="auto" w:sz="12" w:space="0"/>
              <w:bottom w:val="single" w:color="auto" w:sz="12" w:space="0"/>
              <w:right w:val="single" w:color="auto" w:sz="12" w:space="0"/>
            </w:tcBorders>
          </w:tcPr>
          <w:p>
            <w:pPr>
              <w:widowControl/>
              <w:adjustRightInd w:val="0"/>
              <w:snapToGrid w:val="0"/>
              <w:spacing w:line="360" w:lineRule="auto"/>
              <w:jc w:val="left"/>
              <w:rPr>
                <w:rFonts w:ascii="宋体" w:hAnsi="宋体" w:cs="宋体"/>
                <w:kern w:val="0"/>
                <w:szCs w:val="21"/>
              </w:rPr>
            </w:pPr>
            <w:r>
              <w:rPr>
                <w:rFonts w:hint="eastAsia" w:ascii="宋体" w:hAnsi="宋体" w:cs="宋体"/>
                <w:kern w:val="0"/>
                <w:szCs w:val="21"/>
              </w:rPr>
              <w:t>注1 表中最小水平净距：管道从最外边线算起；城市道路自路面边缘算起；公路自路肩边缘算起；铁路自轨外侧或按建筑界限算起；人行道自外沿算起。2 表中最小垂直净距：管道自防护设施的外缘算起；管架自最低部分算起；铁路自轨面算起；道路自路拱算起；人行道自路面算起。3 当有大件运输要求或在检修期间有大型起吊设施通过的道路，其最小垂直净距应根据需要确定。4 架空管线、管架跨越电气化铁路的最小垂直净距，应符合有关规范规定。5 表中与建筑物的最小水平净距的规定，不适用于沿氧气生产车间或氧气用户车间建筑物外墙敷设的管道。</w:t>
            </w:r>
          </w:p>
        </w:tc>
      </w:tr>
    </w:tbl>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架空氧气管道与其他管线之间最小间距要求应按表7执行。</w:t>
      </w:r>
    </w:p>
    <w:p>
      <w:pPr>
        <w:widowControl/>
        <w:adjustRightInd w:val="0"/>
        <w:snapToGrid w:val="0"/>
        <w:spacing w:line="360" w:lineRule="auto"/>
        <w:ind w:firstLine="480" w:firstLineChars="200"/>
        <w:jc w:val="left"/>
        <w:rPr>
          <w:rFonts w:ascii="宋体" w:hAnsi="宋体" w:cs="宋体"/>
          <w:vanish/>
          <w:kern w:val="0"/>
          <w:sz w:val="24"/>
        </w:rPr>
      </w:pPr>
      <w:r>
        <w:rPr>
          <w:rFonts w:hint="eastAsia" w:ascii="宋体" w:hAnsi="宋体" w:cs="宋体"/>
          <w:kern w:val="0"/>
          <w:sz w:val="24"/>
        </w:rPr>
        <w:t>表7 厂区及车间架空氧气管道与其他架空管线之间的最小净距          单位为米</w:t>
      </w:r>
    </w:p>
    <w:tbl>
      <w:tblPr>
        <w:tblStyle w:val="5"/>
        <w:tblW w:w="5000" w:type="pct"/>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15" w:type="dxa"/>
          <w:left w:w="15" w:type="dxa"/>
          <w:bottom w:w="15" w:type="dxa"/>
          <w:right w:w="15" w:type="dxa"/>
        </w:tblCellMar>
      </w:tblPr>
      <w:tblGrid>
        <w:gridCol w:w="3565"/>
        <w:gridCol w:w="3566"/>
        <w:gridCol w:w="2253"/>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1900" w:type="pct"/>
            <w:tcBorders>
              <w:top w:val="single" w:color="auto" w:sz="12" w:space="0"/>
              <w:left w:val="single" w:color="auto" w:sz="12" w:space="0"/>
              <w:bottom w:val="outset" w:color="auto" w:sz="6" w:space="0"/>
              <w:right w:val="outset" w:color="auto" w:sz="6" w:space="0"/>
            </w:tcBorders>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名  称</w:t>
            </w:r>
          </w:p>
        </w:tc>
        <w:tc>
          <w:tcPr>
            <w:tcW w:w="1900" w:type="pct"/>
            <w:tcBorders>
              <w:top w:val="single" w:color="auto" w:sz="12" w:space="0"/>
              <w:left w:val="outset" w:color="auto" w:sz="6" w:space="0"/>
              <w:bottom w:val="outset" w:color="auto" w:sz="6" w:space="0"/>
              <w:right w:val="outset" w:color="auto" w:sz="6" w:space="0"/>
            </w:tcBorders>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最小并行净距</w:t>
            </w:r>
          </w:p>
        </w:tc>
        <w:tc>
          <w:tcPr>
            <w:tcW w:w="1200" w:type="pct"/>
            <w:tcBorders>
              <w:top w:val="single" w:color="auto" w:sz="12" w:space="0"/>
              <w:left w:val="outset" w:color="auto" w:sz="6" w:space="0"/>
              <w:bottom w:val="outset" w:color="auto" w:sz="6" w:space="0"/>
              <w:right w:val="single" w:color="auto" w:sz="12" w:space="0"/>
            </w:tcBorders>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最小交叉净距</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360" w:hRule="atLeast"/>
          <w:tblCellSpacing w:w="0" w:type="dxa"/>
        </w:trPr>
        <w:tc>
          <w:tcPr>
            <w:tcW w:w="1900" w:type="pct"/>
            <w:tcBorders>
              <w:top w:val="outset" w:color="auto" w:sz="6" w:space="0"/>
              <w:left w:val="single" w:color="auto" w:sz="12" w:space="0"/>
              <w:bottom w:val="outset" w:color="auto" w:sz="6" w:space="0"/>
              <w:right w:val="outset" w:color="auto" w:sz="6" w:space="0"/>
            </w:tcBorders>
          </w:tcPr>
          <w:p>
            <w:pPr>
              <w:adjustRightInd w:val="0"/>
              <w:snapToGrid w:val="0"/>
              <w:spacing w:line="360" w:lineRule="auto"/>
              <w:jc w:val="left"/>
              <w:rPr>
                <w:rFonts w:ascii="宋体" w:hAnsi="宋体" w:cs="宋体"/>
                <w:kern w:val="0"/>
                <w:szCs w:val="21"/>
              </w:rPr>
            </w:pPr>
            <w:r>
              <w:rPr>
                <w:rFonts w:hint="eastAsia" w:ascii="宋体" w:hAnsi="宋体" w:cs="宋体"/>
                <w:kern w:val="0"/>
                <w:szCs w:val="21"/>
              </w:rPr>
              <w:t>给水管、排水管</w:t>
            </w:r>
          </w:p>
        </w:tc>
        <w:tc>
          <w:tcPr>
            <w:tcW w:w="1900" w:type="pct"/>
            <w:tcBorders>
              <w:top w:val="outset" w:color="auto" w:sz="6" w:space="0"/>
              <w:left w:val="outset" w:color="auto" w:sz="6" w:space="0"/>
              <w:bottom w:val="outset" w:color="auto" w:sz="6" w:space="0"/>
              <w:right w:val="outset" w:color="auto" w:sz="6" w:space="0"/>
            </w:tcBorders>
          </w:tcPr>
          <w:p>
            <w:pPr>
              <w:adjustRightInd w:val="0"/>
              <w:snapToGrid w:val="0"/>
              <w:spacing w:line="360" w:lineRule="auto"/>
              <w:jc w:val="center"/>
              <w:rPr>
                <w:rFonts w:ascii="宋体" w:hAnsi="宋体" w:cs="宋体"/>
                <w:kern w:val="0"/>
                <w:szCs w:val="21"/>
              </w:rPr>
            </w:pPr>
            <w:r>
              <w:rPr>
                <w:rFonts w:hint="eastAsia" w:ascii="宋体" w:hAnsi="宋体" w:cs="宋体"/>
                <w:kern w:val="0"/>
                <w:szCs w:val="21"/>
              </w:rPr>
              <w:t>满足检修要求</w:t>
            </w:r>
          </w:p>
        </w:tc>
        <w:tc>
          <w:tcPr>
            <w:tcW w:w="1200" w:type="pct"/>
            <w:tcBorders>
              <w:top w:val="outset" w:color="auto" w:sz="6" w:space="0"/>
              <w:left w:val="outset" w:color="auto" w:sz="6" w:space="0"/>
              <w:bottom w:val="outset" w:color="auto" w:sz="6" w:space="0"/>
              <w:right w:val="single" w:color="auto" w:sz="12" w:space="0"/>
            </w:tcBorders>
          </w:tcPr>
          <w:p>
            <w:pPr>
              <w:adjustRightInd w:val="0"/>
              <w:snapToGrid w:val="0"/>
              <w:spacing w:line="360" w:lineRule="auto"/>
              <w:jc w:val="center"/>
              <w:rPr>
                <w:rFonts w:ascii="宋体" w:hAnsi="宋体" w:cs="宋体"/>
                <w:kern w:val="0"/>
                <w:szCs w:val="21"/>
              </w:rPr>
            </w:pPr>
            <w:r>
              <w:rPr>
                <w:rFonts w:hint="eastAsia" w:ascii="宋体" w:hAnsi="宋体" w:cs="宋体"/>
                <w:kern w:val="0"/>
                <w:szCs w:val="21"/>
              </w:rPr>
              <w:t>0.10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210" w:hRule="atLeast"/>
          <w:tblCellSpacing w:w="0" w:type="dxa"/>
        </w:trPr>
        <w:tc>
          <w:tcPr>
            <w:tcW w:w="1900" w:type="pct"/>
            <w:tcBorders>
              <w:top w:val="outset" w:color="auto" w:sz="6" w:space="0"/>
              <w:left w:val="single" w:color="auto" w:sz="12" w:space="0"/>
              <w:bottom w:val="outset" w:color="auto" w:sz="6" w:space="0"/>
              <w:right w:val="outset" w:color="auto" w:sz="6" w:space="0"/>
            </w:tcBorders>
          </w:tcPr>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热力管</w:t>
            </w:r>
          </w:p>
        </w:tc>
        <w:tc>
          <w:tcPr>
            <w:tcW w:w="1900" w:type="pct"/>
            <w:tcBorders>
              <w:top w:val="outset" w:color="auto" w:sz="6" w:space="0"/>
              <w:left w:val="outset" w:color="auto" w:sz="6" w:space="0"/>
              <w:bottom w:val="outset" w:color="auto" w:sz="6" w:space="0"/>
              <w:right w:val="outset" w:color="auto" w:sz="6"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0.25</w:t>
            </w:r>
          </w:p>
        </w:tc>
        <w:tc>
          <w:tcPr>
            <w:tcW w:w="1200" w:type="pct"/>
            <w:tcBorders>
              <w:top w:val="outset" w:color="auto" w:sz="6" w:space="0"/>
              <w:left w:val="outset" w:color="auto" w:sz="6" w:space="0"/>
              <w:bottom w:val="outset" w:color="auto" w:sz="6" w:space="0"/>
              <w:right w:val="single" w:color="auto" w:sz="12"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0.10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390" w:hRule="atLeast"/>
          <w:tblCellSpacing w:w="0" w:type="dxa"/>
        </w:trPr>
        <w:tc>
          <w:tcPr>
            <w:tcW w:w="1900" w:type="pct"/>
            <w:tcBorders>
              <w:top w:val="outset" w:color="auto" w:sz="6" w:space="0"/>
              <w:left w:val="single" w:color="auto" w:sz="12" w:space="0"/>
              <w:bottom w:val="outset" w:color="auto" w:sz="6" w:space="0"/>
              <w:right w:val="outset" w:color="auto" w:sz="6" w:space="0"/>
            </w:tcBorders>
          </w:tcPr>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不燃气体管</w:t>
            </w:r>
          </w:p>
        </w:tc>
        <w:tc>
          <w:tcPr>
            <w:tcW w:w="1900" w:type="pct"/>
            <w:tcBorders>
              <w:top w:val="outset" w:color="auto" w:sz="6" w:space="0"/>
              <w:left w:val="outset" w:color="auto" w:sz="6" w:space="0"/>
              <w:bottom w:val="outset" w:color="auto" w:sz="6" w:space="0"/>
              <w:right w:val="outset" w:color="auto" w:sz="6"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满足检修要求</w:t>
            </w:r>
          </w:p>
        </w:tc>
        <w:tc>
          <w:tcPr>
            <w:tcW w:w="1200" w:type="pct"/>
            <w:tcBorders>
              <w:top w:val="outset" w:color="auto" w:sz="6" w:space="0"/>
              <w:left w:val="outset" w:color="auto" w:sz="6" w:space="0"/>
              <w:bottom w:val="outset" w:color="auto" w:sz="6" w:space="0"/>
              <w:right w:val="single" w:color="auto" w:sz="12"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0.10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255" w:hRule="atLeast"/>
          <w:tblCellSpacing w:w="0" w:type="dxa"/>
        </w:trPr>
        <w:tc>
          <w:tcPr>
            <w:tcW w:w="1900" w:type="pct"/>
            <w:tcBorders>
              <w:top w:val="outset" w:color="auto" w:sz="6" w:space="0"/>
              <w:left w:val="single" w:color="auto" w:sz="12" w:space="0"/>
              <w:bottom w:val="outset" w:color="auto" w:sz="6" w:space="0"/>
              <w:right w:val="outset" w:color="auto" w:sz="6" w:space="0"/>
            </w:tcBorders>
          </w:tcPr>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燃气管、燃油管</w:t>
            </w:r>
          </w:p>
        </w:tc>
        <w:tc>
          <w:tcPr>
            <w:tcW w:w="1900" w:type="pct"/>
            <w:tcBorders>
              <w:top w:val="outset" w:color="auto" w:sz="6" w:space="0"/>
              <w:left w:val="outset" w:color="auto" w:sz="6" w:space="0"/>
              <w:bottom w:val="outset" w:color="auto" w:sz="6" w:space="0"/>
              <w:right w:val="outset" w:color="auto" w:sz="6"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0.50</w:t>
            </w:r>
          </w:p>
        </w:tc>
        <w:tc>
          <w:tcPr>
            <w:tcW w:w="1200" w:type="pct"/>
            <w:tcBorders>
              <w:top w:val="outset" w:color="auto" w:sz="6" w:space="0"/>
              <w:left w:val="outset" w:color="auto" w:sz="6" w:space="0"/>
              <w:bottom w:val="outset" w:color="auto" w:sz="6" w:space="0"/>
              <w:right w:val="single" w:color="auto" w:sz="12"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0.25</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270" w:hRule="atLeast"/>
          <w:tblCellSpacing w:w="0" w:type="dxa"/>
        </w:trPr>
        <w:tc>
          <w:tcPr>
            <w:tcW w:w="1900" w:type="pct"/>
            <w:tcBorders>
              <w:top w:val="outset" w:color="auto" w:sz="6" w:space="0"/>
              <w:left w:val="single" w:color="auto" w:sz="12" w:space="0"/>
              <w:bottom w:val="outset" w:color="auto" w:sz="6" w:space="0"/>
              <w:right w:val="outset" w:color="auto" w:sz="6" w:space="0"/>
            </w:tcBorders>
          </w:tcPr>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吊车的敞开式滑触线</w:t>
            </w:r>
          </w:p>
        </w:tc>
        <w:tc>
          <w:tcPr>
            <w:tcW w:w="1900" w:type="pct"/>
            <w:tcBorders>
              <w:top w:val="outset" w:color="auto" w:sz="6" w:space="0"/>
              <w:left w:val="outset" w:color="auto" w:sz="6" w:space="0"/>
              <w:bottom w:val="outset" w:color="auto" w:sz="6" w:space="0"/>
              <w:right w:val="outset" w:color="auto" w:sz="6"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1.50</w:t>
            </w:r>
          </w:p>
        </w:tc>
        <w:tc>
          <w:tcPr>
            <w:tcW w:w="1200" w:type="pct"/>
            <w:tcBorders>
              <w:top w:val="outset" w:color="auto" w:sz="6" w:space="0"/>
              <w:left w:val="outset" w:color="auto" w:sz="6" w:space="0"/>
              <w:bottom w:val="outset" w:color="auto" w:sz="6" w:space="0"/>
              <w:right w:val="single" w:color="auto" w:sz="12"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0.50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285" w:hRule="atLeast"/>
          <w:tblCellSpacing w:w="0" w:type="dxa"/>
        </w:trPr>
        <w:tc>
          <w:tcPr>
            <w:tcW w:w="1900" w:type="pct"/>
            <w:tcBorders>
              <w:top w:val="outset" w:color="auto" w:sz="6" w:space="0"/>
              <w:left w:val="single" w:color="auto" w:sz="12" w:space="0"/>
              <w:bottom w:val="outset" w:color="auto" w:sz="6" w:space="0"/>
              <w:right w:val="outset" w:color="auto" w:sz="6" w:space="0"/>
            </w:tcBorders>
          </w:tcPr>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10kV及以下的绝缘电缆</w:t>
            </w:r>
          </w:p>
        </w:tc>
        <w:tc>
          <w:tcPr>
            <w:tcW w:w="1900" w:type="pct"/>
            <w:tcBorders>
              <w:top w:val="outset" w:color="auto" w:sz="6" w:space="0"/>
              <w:left w:val="outset" w:color="auto" w:sz="6" w:space="0"/>
              <w:bottom w:val="outset" w:color="auto" w:sz="6" w:space="0"/>
              <w:right w:val="outset" w:color="auto" w:sz="6"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1.00</w:t>
            </w:r>
          </w:p>
        </w:tc>
        <w:tc>
          <w:tcPr>
            <w:tcW w:w="1200" w:type="pct"/>
            <w:tcBorders>
              <w:top w:val="outset" w:color="auto" w:sz="6" w:space="0"/>
              <w:left w:val="outset" w:color="auto" w:sz="6" w:space="0"/>
              <w:bottom w:val="outset" w:color="auto" w:sz="6" w:space="0"/>
              <w:right w:val="single" w:color="auto" w:sz="12"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0.50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300" w:hRule="atLeast"/>
          <w:tblCellSpacing w:w="0" w:type="dxa"/>
        </w:trPr>
        <w:tc>
          <w:tcPr>
            <w:tcW w:w="1900" w:type="pct"/>
            <w:tcBorders>
              <w:top w:val="outset" w:color="auto" w:sz="6" w:space="0"/>
              <w:left w:val="single" w:color="auto" w:sz="12" w:space="0"/>
              <w:bottom w:val="outset" w:color="auto" w:sz="6" w:space="0"/>
              <w:right w:val="outset" w:color="auto" w:sz="6" w:space="0"/>
            </w:tcBorders>
          </w:tcPr>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10kV及以下有套管的绝缘电缆</w:t>
            </w:r>
          </w:p>
        </w:tc>
        <w:tc>
          <w:tcPr>
            <w:tcW w:w="1900" w:type="pct"/>
            <w:tcBorders>
              <w:top w:val="outset" w:color="auto" w:sz="6" w:space="0"/>
              <w:left w:val="outset" w:color="auto" w:sz="6" w:space="0"/>
              <w:bottom w:val="outset" w:color="auto" w:sz="6" w:space="0"/>
              <w:right w:val="outset" w:color="auto" w:sz="6"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0.50</w:t>
            </w:r>
          </w:p>
        </w:tc>
        <w:tc>
          <w:tcPr>
            <w:tcW w:w="1200" w:type="pct"/>
            <w:tcBorders>
              <w:top w:val="outset" w:color="auto" w:sz="6" w:space="0"/>
              <w:left w:val="outset" w:color="auto" w:sz="6" w:space="0"/>
              <w:bottom w:val="outset" w:color="auto" w:sz="6" w:space="0"/>
              <w:right w:val="single" w:color="auto" w:sz="12"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0.50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315" w:hRule="atLeast"/>
          <w:tblCellSpacing w:w="0" w:type="dxa"/>
        </w:trPr>
        <w:tc>
          <w:tcPr>
            <w:tcW w:w="1900" w:type="pct"/>
            <w:tcBorders>
              <w:top w:val="outset" w:color="auto" w:sz="6" w:space="0"/>
              <w:left w:val="single" w:color="auto" w:sz="12" w:space="0"/>
              <w:bottom w:val="outset" w:color="auto" w:sz="6" w:space="0"/>
              <w:right w:val="outset" w:color="auto" w:sz="6" w:space="0"/>
            </w:tcBorders>
          </w:tcPr>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插接式母线、悬挂式干线</w:t>
            </w:r>
          </w:p>
        </w:tc>
        <w:tc>
          <w:tcPr>
            <w:tcW w:w="1900" w:type="pct"/>
            <w:tcBorders>
              <w:top w:val="outset" w:color="auto" w:sz="6" w:space="0"/>
              <w:left w:val="outset" w:color="auto" w:sz="6" w:space="0"/>
              <w:bottom w:val="outset" w:color="auto" w:sz="6" w:space="0"/>
              <w:right w:val="outset" w:color="auto" w:sz="6"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1.50</w:t>
            </w:r>
          </w:p>
        </w:tc>
        <w:tc>
          <w:tcPr>
            <w:tcW w:w="1200" w:type="pct"/>
            <w:tcBorders>
              <w:top w:val="outset" w:color="auto" w:sz="6" w:space="0"/>
              <w:left w:val="outset" w:color="auto" w:sz="6" w:space="0"/>
              <w:bottom w:val="outset" w:color="auto" w:sz="6" w:space="0"/>
              <w:right w:val="single" w:color="auto" w:sz="12"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0.50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345" w:hRule="atLeast"/>
          <w:tblCellSpacing w:w="0" w:type="dxa"/>
        </w:trPr>
        <w:tc>
          <w:tcPr>
            <w:tcW w:w="1900" w:type="pct"/>
            <w:tcBorders>
              <w:top w:val="outset" w:color="auto" w:sz="6" w:space="0"/>
              <w:left w:val="single" w:color="auto" w:sz="12" w:space="0"/>
              <w:bottom w:val="outset" w:color="auto" w:sz="6" w:space="0"/>
              <w:right w:val="outset" w:color="auto" w:sz="6" w:space="0"/>
            </w:tcBorders>
          </w:tcPr>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非防爆开关、插座、配电箱</w:t>
            </w:r>
          </w:p>
        </w:tc>
        <w:tc>
          <w:tcPr>
            <w:tcW w:w="1900" w:type="pct"/>
            <w:tcBorders>
              <w:top w:val="outset" w:color="auto" w:sz="6" w:space="0"/>
              <w:left w:val="outset" w:color="auto" w:sz="6" w:space="0"/>
              <w:bottom w:val="outset" w:color="auto" w:sz="6" w:space="0"/>
              <w:right w:val="outset" w:color="auto" w:sz="6"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1.50</w:t>
            </w:r>
          </w:p>
        </w:tc>
        <w:tc>
          <w:tcPr>
            <w:tcW w:w="1200" w:type="pct"/>
            <w:tcBorders>
              <w:top w:val="outset" w:color="auto" w:sz="6" w:space="0"/>
              <w:left w:val="outset" w:color="auto" w:sz="6" w:space="0"/>
              <w:bottom w:val="outset" w:color="auto" w:sz="6" w:space="0"/>
              <w:right w:val="single" w:color="auto" w:sz="12"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1.50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345" w:hRule="atLeast"/>
          <w:tblCellSpacing w:w="0" w:type="dxa"/>
        </w:trPr>
        <w:tc>
          <w:tcPr>
            <w:tcW w:w="1900" w:type="pct"/>
            <w:tcBorders>
              <w:top w:val="outset" w:color="auto" w:sz="6" w:space="0"/>
              <w:left w:val="single" w:color="auto" w:sz="12" w:space="0"/>
              <w:bottom w:val="outset" w:color="auto" w:sz="6" w:space="0"/>
              <w:right w:val="outset" w:color="auto" w:sz="6" w:space="0"/>
            </w:tcBorders>
          </w:tcPr>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与架空裸电缆</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66kV∽35kV</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10kV∽3kV</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3kV以下</w:t>
            </w:r>
          </w:p>
        </w:tc>
        <w:tc>
          <w:tcPr>
            <w:tcW w:w="1900" w:type="pct"/>
            <w:tcBorders>
              <w:top w:val="outset" w:color="auto" w:sz="6" w:space="0"/>
              <w:left w:val="outset" w:color="auto" w:sz="6" w:space="0"/>
              <w:bottom w:val="outset" w:color="auto" w:sz="6" w:space="0"/>
              <w:right w:val="outset" w:color="auto" w:sz="6"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最高杆（塔）高</w:t>
            </w:r>
          </w:p>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最高杆（塔）高</w:t>
            </w:r>
          </w:p>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最高杆（塔）高</w:t>
            </w:r>
          </w:p>
        </w:tc>
        <w:tc>
          <w:tcPr>
            <w:tcW w:w="1200" w:type="pct"/>
            <w:tcBorders>
              <w:top w:val="outset" w:color="auto" w:sz="6" w:space="0"/>
              <w:left w:val="outset" w:color="auto" w:sz="6" w:space="0"/>
              <w:bottom w:val="outset" w:color="auto" w:sz="6" w:space="0"/>
              <w:right w:val="single" w:color="auto" w:sz="12"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4.0</w:t>
            </w:r>
          </w:p>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3.0</w:t>
            </w:r>
          </w:p>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1.5</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0" w:type="auto"/>
            <w:gridSpan w:val="3"/>
            <w:tcBorders>
              <w:top w:val="outset" w:color="auto" w:sz="6" w:space="0"/>
              <w:left w:val="single" w:color="auto" w:sz="12" w:space="0"/>
              <w:bottom w:val="single" w:color="auto" w:sz="12" w:space="0"/>
              <w:right w:val="single" w:color="auto" w:sz="12" w:space="0"/>
            </w:tcBorders>
          </w:tcPr>
          <w:p>
            <w:pPr>
              <w:widowControl/>
              <w:adjustRightInd w:val="0"/>
              <w:snapToGrid w:val="0"/>
              <w:spacing w:line="360" w:lineRule="auto"/>
              <w:jc w:val="left"/>
              <w:rPr>
                <w:rFonts w:ascii="宋体" w:hAnsi="宋体" w:cs="宋体"/>
                <w:kern w:val="0"/>
                <w:szCs w:val="21"/>
              </w:rPr>
            </w:pPr>
            <w:r>
              <w:rPr>
                <w:rFonts w:hint="eastAsia" w:ascii="宋体" w:hAnsi="宋体" w:cs="宋体"/>
                <w:kern w:val="0"/>
                <w:szCs w:val="21"/>
              </w:rPr>
              <w:t>注1 氧气管道与燃气管并行敷设时，当管道采用焊接连接结构且无阀门时，其最小并行间距可减少到0.25m。2 氧气管道的阀门及管件接头与燃气、燃油管道上的阀门及管件接头，应沿管道轴线方向错开一定距离；当必须设置在一处时，则应适当的扩大管道之间的净距。3 电气设备与氧气引出口不能满足上述距离要求时，可将两者安装在同一柱子的相对侧面；当柱子为空腹时，应在柱子上装设不燃烧体隔板局部隔开。4 与滑触线的净距系指氧气管在其下方时的要求，此时在氧气管及滑触线之间宜设隔离网。5 在路径收到限值的地区，架空氧气管道与10kV及以下架空裸电缆的最小并行净距，可参照DL/T 5220执行。</w:t>
            </w:r>
          </w:p>
        </w:tc>
      </w:tr>
    </w:tbl>
    <w:p>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 xml:space="preserve"> 氧气管道与乙炔、氢气管道共架敷设时，应在乙炔、氢气管道的下方或支架两侧；与油质、有可能泄漏腐蚀性介质的管道共架敷时，应设在该类管道的上方或支架两侧。</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氧气管道在不通行地沟敷设时，应符合下列要求：</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a)沟上应设防止可燃物料、火花侵入的盖板，地沟及盖板应是不燃烧体材料制作；地沟应能排除积水；严禁油脂及易燃物漏入地沟内；</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b)地沟内氧气管道不应设阀门、泛滥、螺纹等易泄漏接口；</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c)地沟内氧气管道与同沟敷设的管线间距参照表7执行；</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d)地沟内氧气管道与非燃气、水管道同沟敷设时，氧气管道应在上面；</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e)严禁氧气管道与可燃气体管道（不含乙炔气）、油质管道、腐蚀性介质管道、电缆线同沟敷设；并严禁氧气管道地沟与该类管线地沟相通。</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厂房内氧气管道不宜埋地敷设。</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厂区氧气管道架空困难，必须埋地敷设时应符合下列要求：</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a)埋地深度，应根据地面上荷载决定。埋地氧气管道应敷设在冻土层以下，穿过铁路和道路时，其交叉角不宜小于45°，并应设套管。套管顶距铁轨底面不应小于1.2m，距道路路面不应小于0.7m；</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b)直接埋地管道，应根据埋设地带土壤的腐蚀等级采取相应等级防腐蚀措施；</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c)埋地管道上不宜装设阀门或法兰连接点，必须设置时应设阀门井；</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d)埋地氧气管道与建筑物、管路及其埋地管线之间的最小净距，应按表8规定执行，且不应埋设在露天堆场下面或穿过烟道和地沟。</w:t>
      </w:r>
    </w:p>
    <w:p>
      <w:pPr>
        <w:widowControl/>
        <w:adjustRightInd w:val="0"/>
        <w:snapToGrid w:val="0"/>
        <w:spacing w:line="360" w:lineRule="auto"/>
        <w:ind w:firstLine="480" w:firstLineChars="200"/>
        <w:jc w:val="left"/>
        <w:rPr>
          <w:rFonts w:ascii="宋体" w:hAnsi="宋体" w:cs="宋体"/>
          <w:vanish/>
          <w:kern w:val="0"/>
          <w:sz w:val="24"/>
        </w:rPr>
      </w:pPr>
      <w:r>
        <w:rPr>
          <w:rFonts w:hint="eastAsia" w:ascii="宋体" w:hAnsi="宋体" w:cs="宋体"/>
          <w:kern w:val="0"/>
          <w:sz w:val="24"/>
        </w:rPr>
        <w:t>表8 厂区地下氧气管道与建筑物、构筑物等及其他地下管线之间最小净距  单位为米</w:t>
      </w:r>
    </w:p>
    <w:tbl>
      <w:tblPr>
        <w:tblStyle w:val="5"/>
        <w:tblW w:w="5000" w:type="pct"/>
        <w:tblCellSpacing w:w="0" w:type="dxa"/>
        <w:tblInd w:w="0" w:type="dxa"/>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Layout w:type="autofit"/>
        <w:tblCellMar>
          <w:top w:w="15" w:type="dxa"/>
          <w:left w:w="15" w:type="dxa"/>
          <w:bottom w:w="15" w:type="dxa"/>
          <w:right w:w="15" w:type="dxa"/>
        </w:tblCellMar>
      </w:tblPr>
      <w:tblGrid>
        <w:gridCol w:w="4599"/>
        <w:gridCol w:w="3003"/>
        <w:gridCol w:w="1782"/>
      </w:tblGrid>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15" w:type="dxa"/>
            <w:left w:w="15" w:type="dxa"/>
            <w:bottom w:w="15" w:type="dxa"/>
            <w:right w:w="15" w:type="dxa"/>
          </w:tblCellMar>
        </w:tblPrEx>
        <w:trPr>
          <w:tblCellSpacing w:w="0" w:type="dxa"/>
        </w:trPr>
        <w:tc>
          <w:tcPr>
            <w:tcW w:w="2450" w:type="pct"/>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名  称</w:t>
            </w:r>
          </w:p>
        </w:tc>
        <w:tc>
          <w:tcPr>
            <w:tcW w:w="1600" w:type="pct"/>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最小水平净距</w:t>
            </w:r>
          </w:p>
        </w:tc>
        <w:tc>
          <w:tcPr>
            <w:tcW w:w="950" w:type="pct"/>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最小垂直净距</w:t>
            </w: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15" w:type="dxa"/>
            <w:left w:w="15" w:type="dxa"/>
            <w:bottom w:w="15" w:type="dxa"/>
            <w:right w:w="15" w:type="dxa"/>
          </w:tblCellMar>
        </w:tblPrEx>
        <w:trPr>
          <w:trHeight w:val="1215" w:hRule="atLeast"/>
          <w:tblCellSpacing w:w="0" w:type="dxa"/>
        </w:trPr>
        <w:tc>
          <w:tcPr>
            <w:tcW w:w="2450" w:type="pct"/>
          </w:tcPr>
          <w:p>
            <w:pPr>
              <w:widowControl/>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有地下室的建筑物基础或通行沟道的外沿</w:t>
            </w:r>
          </w:p>
          <w:p>
            <w:pPr>
              <w:widowControl/>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氧气压力≤1.6MPa</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氧气压力＞1.6MPa</w:t>
            </w:r>
          </w:p>
        </w:tc>
        <w:tc>
          <w:tcPr>
            <w:tcW w:w="1600" w:type="pct"/>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3.0</w:t>
            </w:r>
          </w:p>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5.0</w:t>
            </w:r>
          </w:p>
        </w:tc>
        <w:tc>
          <w:tcPr>
            <w:tcW w:w="950" w:type="pct"/>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15" w:type="dxa"/>
            <w:left w:w="15" w:type="dxa"/>
            <w:bottom w:w="15" w:type="dxa"/>
            <w:right w:w="15" w:type="dxa"/>
          </w:tblCellMar>
        </w:tblPrEx>
        <w:trPr>
          <w:trHeight w:val="1170" w:hRule="atLeast"/>
          <w:tblCellSpacing w:w="0" w:type="dxa"/>
        </w:trPr>
        <w:tc>
          <w:tcPr>
            <w:tcW w:w="2450" w:type="pct"/>
          </w:tcPr>
          <w:p>
            <w:pPr>
              <w:widowControl/>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无地下室的建筑物基础外沿</w:t>
            </w:r>
          </w:p>
          <w:p>
            <w:pPr>
              <w:widowControl/>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氧气压力≤1.6MPa</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氧气压力＞1.6MPa</w:t>
            </w:r>
          </w:p>
        </w:tc>
        <w:tc>
          <w:tcPr>
            <w:tcW w:w="1600" w:type="pct"/>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2.5</w:t>
            </w:r>
          </w:p>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3.0</w:t>
            </w:r>
          </w:p>
        </w:tc>
        <w:tc>
          <w:tcPr>
            <w:tcW w:w="950" w:type="pct"/>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15" w:type="dxa"/>
            <w:left w:w="15" w:type="dxa"/>
            <w:bottom w:w="15" w:type="dxa"/>
            <w:right w:w="15" w:type="dxa"/>
          </w:tblCellMar>
        </w:tblPrEx>
        <w:trPr>
          <w:trHeight w:val="300" w:hRule="atLeast"/>
          <w:tblCellSpacing w:w="0" w:type="dxa"/>
        </w:trPr>
        <w:tc>
          <w:tcPr>
            <w:tcW w:w="2450" w:type="pct"/>
            <w:tcBorders>
              <w:bottom w:val="outset" w:color="auto" w:sz="6" w:space="0"/>
            </w:tcBorders>
          </w:tcPr>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铁路钢轨</w:t>
            </w:r>
          </w:p>
        </w:tc>
        <w:tc>
          <w:tcPr>
            <w:tcW w:w="1600" w:type="pct"/>
            <w:tcBorders>
              <w:bottom w:val="outset" w:color="auto" w:sz="6"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2.5（钢轨外侧）</w:t>
            </w:r>
          </w:p>
        </w:tc>
        <w:tc>
          <w:tcPr>
            <w:tcW w:w="950" w:type="pct"/>
            <w:tcBorders>
              <w:bottom w:val="outset" w:color="auto" w:sz="6"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1.20</w:t>
            </w: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15" w:type="dxa"/>
            <w:left w:w="15" w:type="dxa"/>
            <w:bottom w:w="15" w:type="dxa"/>
            <w:right w:w="15" w:type="dxa"/>
          </w:tblCellMar>
        </w:tblPrEx>
        <w:trPr>
          <w:trHeight w:val="300" w:hRule="atLeast"/>
          <w:tblCellSpacing w:w="0" w:type="dxa"/>
        </w:trPr>
        <w:tc>
          <w:tcPr>
            <w:tcW w:w="2450" w:type="pct"/>
            <w:tcBorders>
              <w:top w:val="outset" w:color="auto" w:sz="6" w:space="0"/>
              <w:bottom w:val="outset" w:color="auto" w:sz="6" w:space="0"/>
            </w:tcBorders>
          </w:tcPr>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排水沟外沿</w:t>
            </w:r>
          </w:p>
        </w:tc>
        <w:tc>
          <w:tcPr>
            <w:tcW w:w="1600" w:type="pct"/>
            <w:tcBorders>
              <w:top w:val="outset" w:color="auto" w:sz="6" w:space="0"/>
              <w:bottom w:val="outset" w:color="auto" w:sz="6"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0.8</w:t>
            </w:r>
          </w:p>
        </w:tc>
        <w:tc>
          <w:tcPr>
            <w:tcW w:w="950" w:type="pct"/>
            <w:tcBorders>
              <w:top w:val="outset" w:color="auto" w:sz="6" w:space="0"/>
              <w:bottom w:val="outset" w:color="auto" w:sz="6"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15" w:type="dxa"/>
            <w:left w:w="15" w:type="dxa"/>
            <w:bottom w:w="15" w:type="dxa"/>
            <w:right w:w="15" w:type="dxa"/>
          </w:tblCellMar>
        </w:tblPrEx>
        <w:trPr>
          <w:trHeight w:val="300" w:hRule="atLeast"/>
          <w:tblCellSpacing w:w="0" w:type="dxa"/>
        </w:trPr>
        <w:tc>
          <w:tcPr>
            <w:tcW w:w="2450" w:type="pct"/>
            <w:tcBorders>
              <w:top w:val="outset" w:color="auto" w:sz="6" w:space="0"/>
              <w:bottom w:val="outset" w:color="auto" w:sz="6" w:space="0"/>
            </w:tcBorders>
          </w:tcPr>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道路</w:t>
            </w:r>
          </w:p>
        </w:tc>
        <w:tc>
          <w:tcPr>
            <w:tcW w:w="1600" w:type="pct"/>
            <w:tcBorders>
              <w:top w:val="outset" w:color="auto" w:sz="6" w:space="0"/>
              <w:bottom w:val="outset" w:color="auto" w:sz="6"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0.8</w:t>
            </w:r>
          </w:p>
        </w:tc>
        <w:tc>
          <w:tcPr>
            <w:tcW w:w="950" w:type="pct"/>
            <w:tcBorders>
              <w:top w:val="outset" w:color="auto" w:sz="6" w:space="0"/>
              <w:bottom w:val="outset" w:color="auto" w:sz="6"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0.7</w:t>
            </w: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15" w:type="dxa"/>
            <w:left w:w="15" w:type="dxa"/>
            <w:bottom w:w="15" w:type="dxa"/>
            <w:right w:w="15" w:type="dxa"/>
          </w:tblCellMar>
        </w:tblPrEx>
        <w:trPr>
          <w:trHeight w:val="300" w:hRule="atLeast"/>
          <w:tblCellSpacing w:w="0" w:type="dxa"/>
        </w:trPr>
        <w:tc>
          <w:tcPr>
            <w:tcW w:w="2450" w:type="pct"/>
            <w:tcBorders>
              <w:top w:val="outset" w:color="auto" w:sz="6" w:space="0"/>
              <w:bottom w:val="outset" w:color="auto" w:sz="6" w:space="0"/>
            </w:tcBorders>
          </w:tcPr>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照明电线杆柱</w:t>
            </w:r>
          </w:p>
        </w:tc>
        <w:tc>
          <w:tcPr>
            <w:tcW w:w="1600" w:type="pct"/>
            <w:tcBorders>
              <w:top w:val="outset" w:color="auto" w:sz="6" w:space="0"/>
              <w:bottom w:val="outset" w:color="auto" w:sz="6"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0.8</w:t>
            </w:r>
          </w:p>
        </w:tc>
        <w:tc>
          <w:tcPr>
            <w:tcW w:w="950" w:type="pct"/>
            <w:tcBorders>
              <w:top w:val="outset" w:color="auto" w:sz="6" w:space="0"/>
              <w:bottom w:val="outset" w:color="auto" w:sz="6"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15" w:type="dxa"/>
            <w:left w:w="15" w:type="dxa"/>
            <w:bottom w:w="15" w:type="dxa"/>
            <w:right w:w="15" w:type="dxa"/>
          </w:tblCellMar>
        </w:tblPrEx>
        <w:trPr>
          <w:trHeight w:val="315" w:hRule="atLeast"/>
          <w:tblCellSpacing w:w="0" w:type="dxa"/>
        </w:trPr>
        <w:tc>
          <w:tcPr>
            <w:tcW w:w="2450" w:type="pct"/>
            <w:tcBorders>
              <w:top w:val="outset" w:color="auto" w:sz="6" w:space="0"/>
              <w:bottom w:val="outset" w:color="auto" w:sz="6" w:space="0"/>
            </w:tcBorders>
          </w:tcPr>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电力（220V、380V)、电信杆柱</w:t>
            </w:r>
          </w:p>
        </w:tc>
        <w:tc>
          <w:tcPr>
            <w:tcW w:w="1600" w:type="pct"/>
            <w:tcBorders>
              <w:top w:val="outset" w:color="auto" w:sz="6" w:space="0"/>
              <w:bottom w:val="outset" w:color="auto" w:sz="6"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1.5</w:t>
            </w:r>
          </w:p>
        </w:tc>
        <w:tc>
          <w:tcPr>
            <w:tcW w:w="950" w:type="pct"/>
            <w:tcBorders>
              <w:top w:val="outset" w:color="auto" w:sz="6" w:space="0"/>
              <w:bottom w:val="outset" w:color="auto" w:sz="6"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15" w:type="dxa"/>
            <w:left w:w="15" w:type="dxa"/>
            <w:bottom w:w="15" w:type="dxa"/>
            <w:right w:w="15" w:type="dxa"/>
          </w:tblCellMar>
        </w:tblPrEx>
        <w:trPr>
          <w:trHeight w:val="315" w:hRule="atLeast"/>
          <w:tblCellSpacing w:w="0" w:type="dxa"/>
        </w:trPr>
        <w:tc>
          <w:tcPr>
            <w:tcW w:w="2450" w:type="pct"/>
            <w:tcBorders>
              <w:top w:val="outset" w:color="auto" w:sz="6" w:space="0"/>
              <w:bottom w:val="outset" w:color="auto" w:sz="6" w:space="0"/>
            </w:tcBorders>
          </w:tcPr>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高压电力（1000V以上）杆柱</w:t>
            </w:r>
          </w:p>
        </w:tc>
        <w:tc>
          <w:tcPr>
            <w:tcW w:w="1600" w:type="pct"/>
            <w:tcBorders>
              <w:top w:val="outset" w:color="auto" w:sz="6" w:space="0"/>
              <w:bottom w:val="outset" w:color="auto" w:sz="6"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2.0</w:t>
            </w:r>
          </w:p>
        </w:tc>
        <w:tc>
          <w:tcPr>
            <w:tcW w:w="950" w:type="pct"/>
            <w:tcBorders>
              <w:top w:val="outset" w:color="auto" w:sz="6" w:space="0"/>
              <w:bottom w:val="outset" w:color="auto" w:sz="6"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15" w:type="dxa"/>
            <w:left w:w="15" w:type="dxa"/>
            <w:bottom w:w="15" w:type="dxa"/>
            <w:right w:w="15" w:type="dxa"/>
          </w:tblCellMar>
        </w:tblPrEx>
        <w:trPr>
          <w:trHeight w:val="315" w:hRule="atLeast"/>
          <w:tblCellSpacing w:w="0" w:type="dxa"/>
        </w:trPr>
        <w:tc>
          <w:tcPr>
            <w:tcW w:w="2450" w:type="pct"/>
            <w:tcBorders>
              <w:top w:val="outset" w:color="auto" w:sz="6" w:space="0"/>
              <w:bottom w:val="outset" w:color="auto" w:sz="6" w:space="0"/>
            </w:tcBorders>
          </w:tcPr>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管架基础外沿</w:t>
            </w:r>
          </w:p>
        </w:tc>
        <w:tc>
          <w:tcPr>
            <w:tcW w:w="1600" w:type="pct"/>
            <w:tcBorders>
              <w:top w:val="outset" w:color="auto" w:sz="6" w:space="0"/>
              <w:bottom w:val="outset" w:color="auto" w:sz="6"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0.8</w:t>
            </w:r>
          </w:p>
        </w:tc>
        <w:tc>
          <w:tcPr>
            <w:tcW w:w="950" w:type="pct"/>
            <w:tcBorders>
              <w:top w:val="outset" w:color="auto" w:sz="6" w:space="0"/>
              <w:bottom w:val="outset" w:color="auto" w:sz="6"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15" w:type="dxa"/>
            <w:left w:w="15" w:type="dxa"/>
            <w:bottom w:w="15" w:type="dxa"/>
            <w:right w:w="15" w:type="dxa"/>
          </w:tblCellMar>
        </w:tblPrEx>
        <w:trPr>
          <w:trHeight w:val="315" w:hRule="atLeast"/>
          <w:tblCellSpacing w:w="0" w:type="dxa"/>
        </w:trPr>
        <w:tc>
          <w:tcPr>
            <w:tcW w:w="2450" w:type="pct"/>
            <w:tcBorders>
              <w:top w:val="outset" w:color="auto" w:sz="6" w:space="0"/>
              <w:bottom w:val="outset" w:color="auto" w:sz="6" w:space="0"/>
            </w:tcBorders>
          </w:tcPr>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围墙基础外沿</w:t>
            </w:r>
          </w:p>
        </w:tc>
        <w:tc>
          <w:tcPr>
            <w:tcW w:w="1600" w:type="pct"/>
            <w:tcBorders>
              <w:top w:val="outset" w:color="auto" w:sz="6" w:space="0"/>
              <w:bottom w:val="outset" w:color="auto" w:sz="6"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1.0</w:t>
            </w:r>
          </w:p>
        </w:tc>
        <w:tc>
          <w:tcPr>
            <w:tcW w:w="950" w:type="pct"/>
            <w:tcBorders>
              <w:top w:val="outset" w:color="auto" w:sz="6" w:space="0"/>
              <w:bottom w:val="outset" w:color="auto" w:sz="6"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15" w:type="dxa"/>
            <w:left w:w="15" w:type="dxa"/>
            <w:bottom w:w="15" w:type="dxa"/>
            <w:right w:w="15" w:type="dxa"/>
          </w:tblCellMar>
        </w:tblPrEx>
        <w:trPr>
          <w:trHeight w:val="330" w:hRule="atLeast"/>
          <w:tblCellSpacing w:w="0" w:type="dxa"/>
        </w:trPr>
        <w:tc>
          <w:tcPr>
            <w:tcW w:w="2450" w:type="pct"/>
            <w:tcBorders>
              <w:top w:val="outset" w:color="auto" w:sz="6" w:space="0"/>
              <w:bottom w:val="outset" w:color="auto" w:sz="6" w:space="0"/>
            </w:tcBorders>
          </w:tcPr>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乔木中心</w:t>
            </w:r>
          </w:p>
        </w:tc>
        <w:tc>
          <w:tcPr>
            <w:tcW w:w="1600" w:type="pct"/>
            <w:tcBorders>
              <w:top w:val="outset" w:color="auto" w:sz="6" w:space="0"/>
              <w:bottom w:val="outset" w:color="auto" w:sz="6"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1.5</w:t>
            </w:r>
          </w:p>
        </w:tc>
        <w:tc>
          <w:tcPr>
            <w:tcW w:w="950" w:type="pct"/>
            <w:tcBorders>
              <w:top w:val="outset" w:color="auto" w:sz="6" w:space="0"/>
              <w:bottom w:val="outset" w:color="auto" w:sz="6"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15" w:type="dxa"/>
            <w:left w:w="15" w:type="dxa"/>
            <w:bottom w:w="15" w:type="dxa"/>
            <w:right w:w="15" w:type="dxa"/>
          </w:tblCellMar>
        </w:tblPrEx>
        <w:trPr>
          <w:trHeight w:val="330" w:hRule="atLeast"/>
          <w:tblCellSpacing w:w="0" w:type="dxa"/>
        </w:trPr>
        <w:tc>
          <w:tcPr>
            <w:tcW w:w="2450" w:type="pct"/>
            <w:tcBorders>
              <w:top w:val="outset" w:color="auto" w:sz="6" w:space="0"/>
              <w:bottom w:val="outset" w:color="auto" w:sz="6" w:space="0"/>
            </w:tcBorders>
          </w:tcPr>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灌木中心</w:t>
            </w:r>
          </w:p>
        </w:tc>
        <w:tc>
          <w:tcPr>
            <w:tcW w:w="1600" w:type="pct"/>
            <w:tcBorders>
              <w:top w:val="outset" w:color="auto" w:sz="6" w:space="0"/>
              <w:bottom w:val="outset" w:color="auto" w:sz="6"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1.0</w:t>
            </w:r>
          </w:p>
        </w:tc>
        <w:tc>
          <w:tcPr>
            <w:tcW w:w="950" w:type="pct"/>
            <w:tcBorders>
              <w:top w:val="outset" w:color="auto" w:sz="6" w:space="0"/>
              <w:bottom w:val="outset" w:color="auto" w:sz="6"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15" w:type="dxa"/>
            <w:left w:w="15" w:type="dxa"/>
            <w:bottom w:w="15" w:type="dxa"/>
            <w:right w:w="15" w:type="dxa"/>
          </w:tblCellMar>
        </w:tblPrEx>
        <w:trPr>
          <w:trHeight w:val="1890" w:hRule="atLeast"/>
          <w:tblCellSpacing w:w="0" w:type="dxa"/>
        </w:trPr>
        <w:tc>
          <w:tcPr>
            <w:tcW w:w="2450" w:type="pct"/>
            <w:tcBorders>
              <w:top w:val="outset" w:color="auto" w:sz="6" w:space="0"/>
              <w:bottom w:val="outset" w:color="auto" w:sz="6" w:space="0"/>
            </w:tcBorders>
          </w:tcPr>
          <w:p>
            <w:pPr>
              <w:widowControl/>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给水管</w:t>
            </w:r>
          </w:p>
          <w:p>
            <w:pPr>
              <w:widowControl/>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直径＜75mm</w:t>
            </w:r>
          </w:p>
          <w:p>
            <w:pPr>
              <w:widowControl/>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直径75～150mm</w:t>
            </w:r>
          </w:p>
          <w:p>
            <w:pPr>
              <w:widowControl/>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直径200～400mm</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直径＞400mm</w:t>
            </w:r>
          </w:p>
        </w:tc>
        <w:tc>
          <w:tcPr>
            <w:tcW w:w="1600" w:type="pct"/>
            <w:tcBorders>
              <w:top w:val="outset" w:color="auto" w:sz="6" w:space="0"/>
              <w:bottom w:val="outset" w:color="auto" w:sz="6" w:space="0"/>
            </w:tcBorders>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0.8</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1.0</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1.2</w:t>
            </w:r>
          </w:p>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1.5</w:t>
            </w:r>
          </w:p>
        </w:tc>
        <w:tc>
          <w:tcPr>
            <w:tcW w:w="950" w:type="pct"/>
            <w:tcBorders>
              <w:top w:val="outset" w:color="auto" w:sz="6" w:space="0"/>
              <w:bottom w:val="outset" w:color="auto" w:sz="6" w:space="0"/>
            </w:tcBorders>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0.15</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0.15</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0.15</w:t>
            </w:r>
          </w:p>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0.15</w:t>
            </w: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15" w:type="dxa"/>
            <w:left w:w="15" w:type="dxa"/>
            <w:bottom w:w="15" w:type="dxa"/>
            <w:right w:w="15" w:type="dxa"/>
          </w:tblCellMar>
        </w:tblPrEx>
        <w:trPr>
          <w:trHeight w:val="1680" w:hRule="atLeast"/>
          <w:tblCellSpacing w:w="0" w:type="dxa"/>
        </w:trPr>
        <w:tc>
          <w:tcPr>
            <w:tcW w:w="2450" w:type="pct"/>
            <w:tcBorders>
              <w:top w:val="outset" w:color="auto" w:sz="6" w:space="0"/>
              <w:bottom w:val="outset" w:color="auto" w:sz="6" w:space="0"/>
            </w:tcBorders>
          </w:tcPr>
          <w:p>
            <w:pPr>
              <w:widowControl/>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排水管</w:t>
            </w:r>
          </w:p>
          <w:p>
            <w:pPr>
              <w:widowControl/>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直径&lt;800mm</w:t>
            </w:r>
          </w:p>
          <w:p>
            <w:pPr>
              <w:widowControl/>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直径800～1500mm</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直径＞1500mm</w:t>
            </w:r>
          </w:p>
        </w:tc>
        <w:tc>
          <w:tcPr>
            <w:tcW w:w="1600" w:type="pct"/>
            <w:tcBorders>
              <w:top w:val="outset" w:color="auto" w:sz="6" w:space="0"/>
              <w:bottom w:val="outset" w:color="auto" w:sz="6" w:space="0"/>
            </w:tcBorders>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0.8</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1.0</w:t>
            </w:r>
          </w:p>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1.2</w:t>
            </w:r>
          </w:p>
        </w:tc>
        <w:tc>
          <w:tcPr>
            <w:tcW w:w="950" w:type="pct"/>
            <w:tcBorders>
              <w:top w:val="outset" w:color="auto" w:sz="6" w:space="0"/>
              <w:bottom w:val="outset" w:color="auto" w:sz="6" w:space="0"/>
            </w:tcBorders>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0.15</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0.15</w:t>
            </w:r>
          </w:p>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0.15</w:t>
            </w: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15" w:type="dxa"/>
            <w:left w:w="15" w:type="dxa"/>
            <w:bottom w:w="15" w:type="dxa"/>
            <w:right w:w="15" w:type="dxa"/>
          </w:tblCellMar>
        </w:tblPrEx>
        <w:trPr>
          <w:trHeight w:val="405" w:hRule="atLeast"/>
          <w:tblCellSpacing w:w="0" w:type="dxa"/>
        </w:trPr>
        <w:tc>
          <w:tcPr>
            <w:tcW w:w="2450" w:type="pct"/>
            <w:tcBorders>
              <w:top w:val="outset" w:color="auto" w:sz="6" w:space="0"/>
              <w:bottom w:val="outset" w:color="auto" w:sz="6" w:space="0"/>
            </w:tcBorders>
          </w:tcPr>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热力管或不通行地沟外沿</w:t>
            </w:r>
          </w:p>
        </w:tc>
        <w:tc>
          <w:tcPr>
            <w:tcW w:w="1600" w:type="pct"/>
            <w:tcBorders>
              <w:top w:val="outset" w:color="auto" w:sz="6" w:space="0"/>
              <w:bottom w:val="outset" w:color="auto" w:sz="6"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1.5</w:t>
            </w:r>
          </w:p>
        </w:tc>
        <w:tc>
          <w:tcPr>
            <w:tcW w:w="950" w:type="pct"/>
            <w:tcBorders>
              <w:top w:val="outset" w:color="auto" w:sz="6" w:space="0"/>
              <w:bottom w:val="outset" w:color="auto" w:sz="6"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0.25</w:t>
            </w: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15" w:type="dxa"/>
            <w:left w:w="15" w:type="dxa"/>
            <w:bottom w:w="15" w:type="dxa"/>
            <w:right w:w="15" w:type="dxa"/>
          </w:tblCellMar>
        </w:tblPrEx>
        <w:trPr>
          <w:trHeight w:val="255" w:hRule="atLeast"/>
          <w:tblCellSpacing w:w="0" w:type="dxa"/>
        </w:trPr>
        <w:tc>
          <w:tcPr>
            <w:tcW w:w="2450" w:type="pct"/>
            <w:tcBorders>
              <w:top w:val="outset" w:color="auto" w:sz="6" w:space="0"/>
              <w:bottom w:val="outset" w:color="auto" w:sz="6" w:space="0"/>
            </w:tcBorders>
          </w:tcPr>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燃气管（乙炔等）</w:t>
            </w:r>
          </w:p>
        </w:tc>
        <w:tc>
          <w:tcPr>
            <w:tcW w:w="1600" w:type="pct"/>
            <w:tcBorders>
              <w:top w:val="outset" w:color="auto" w:sz="6" w:space="0"/>
              <w:bottom w:val="outset" w:color="auto" w:sz="6"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1.5</w:t>
            </w:r>
          </w:p>
        </w:tc>
        <w:tc>
          <w:tcPr>
            <w:tcW w:w="950" w:type="pct"/>
            <w:tcBorders>
              <w:top w:val="outset" w:color="auto" w:sz="6" w:space="0"/>
              <w:bottom w:val="outset" w:color="auto" w:sz="6"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0.25</w:t>
            </w: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15" w:type="dxa"/>
            <w:left w:w="15" w:type="dxa"/>
            <w:bottom w:w="15" w:type="dxa"/>
            <w:right w:w="15" w:type="dxa"/>
          </w:tblCellMar>
        </w:tblPrEx>
        <w:trPr>
          <w:trHeight w:val="1965" w:hRule="atLeast"/>
          <w:tblCellSpacing w:w="0" w:type="dxa"/>
        </w:trPr>
        <w:tc>
          <w:tcPr>
            <w:tcW w:w="2450" w:type="pct"/>
            <w:tcBorders>
              <w:top w:val="outset" w:color="auto" w:sz="6" w:space="0"/>
              <w:bottom w:val="outset" w:color="auto" w:sz="6" w:space="0"/>
            </w:tcBorders>
          </w:tcPr>
          <w:p>
            <w:pPr>
              <w:widowControl/>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煤气管</w:t>
            </w:r>
          </w:p>
          <w:p>
            <w:pPr>
              <w:widowControl/>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煤气压力≤0.005MPa</w:t>
            </w:r>
          </w:p>
          <w:p>
            <w:pPr>
              <w:widowControl/>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煤气压力＞0.005～0.15MPa</w:t>
            </w:r>
          </w:p>
          <w:p>
            <w:pPr>
              <w:widowControl/>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煤气压力＞0.15～0.3MPa</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煤气压力＞0.3MPa</w:t>
            </w:r>
          </w:p>
        </w:tc>
        <w:tc>
          <w:tcPr>
            <w:tcW w:w="1600" w:type="pct"/>
            <w:tcBorders>
              <w:top w:val="outset" w:color="auto" w:sz="6" w:space="0"/>
              <w:bottom w:val="outset" w:color="auto" w:sz="6" w:space="0"/>
            </w:tcBorders>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1.0</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1.2</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1.5</w:t>
            </w:r>
          </w:p>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2.0</w:t>
            </w:r>
          </w:p>
        </w:tc>
        <w:tc>
          <w:tcPr>
            <w:tcW w:w="950" w:type="pct"/>
            <w:tcBorders>
              <w:top w:val="outset" w:color="auto" w:sz="6" w:space="0"/>
              <w:bottom w:val="outset" w:color="auto" w:sz="6" w:space="0"/>
            </w:tcBorders>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0.25</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0.25</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0.25</w:t>
            </w:r>
          </w:p>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0.25</w:t>
            </w: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15" w:type="dxa"/>
            <w:left w:w="15" w:type="dxa"/>
            <w:bottom w:w="15" w:type="dxa"/>
            <w:right w:w="15" w:type="dxa"/>
          </w:tblCellMar>
        </w:tblPrEx>
        <w:trPr>
          <w:trHeight w:val="324" w:hRule="atLeast"/>
          <w:tblCellSpacing w:w="0" w:type="dxa"/>
        </w:trPr>
        <w:tc>
          <w:tcPr>
            <w:tcW w:w="2450" w:type="pct"/>
            <w:tcBorders>
              <w:top w:val="outset" w:color="auto" w:sz="6" w:space="0"/>
            </w:tcBorders>
          </w:tcPr>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不燃气体管（压缩空气等）</w:t>
            </w:r>
          </w:p>
        </w:tc>
        <w:tc>
          <w:tcPr>
            <w:tcW w:w="1600" w:type="pct"/>
            <w:tcBorders>
              <w:top w:val="outset" w:color="auto" w:sz="6"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1.5</w:t>
            </w:r>
          </w:p>
        </w:tc>
        <w:tc>
          <w:tcPr>
            <w:tcW w:w="950" w:type="pct"/>
            <w:tcBorders>
              <w:top w:val="outset" w:color="auto" w:sz="6"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0.15</w:t>
            </w: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15" w:type="dxa"/>
            <w:left w:w="15" w:type="dxa"/>
            <w:bottom w:w="15" w:type="dxa"/>
            <w:right w:w="15" w:type="dxa"/>
          </w:tblCellMar>
        </w:tblPrEx>
        <w:trPr>
          <w:trHeight w:val="1725" w:hRule="atLeast"/>
          <w:tblCellSpacing w:w="0" w:type="dxa"/>
        </w:trPr>
        <w:tc>
          <w:tcPr>
            <w:tcW w:w="2450" w:type="pct"/>
            <w:tcBorders>
              <w:bottom w:val="outset" w:color="auto" w:sz="6" w:space="0"/>
            </w:tcBorders>
          </w:tcPr>
          <w:p>
            <w:pPr>
              <w:widowControl/>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电力电缆</w:t>
            </w:r>
          </w:p>
          <w:p>
            <w:pPr>
              <w:widowControl/>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电压＜1kV</w:t>
            </w:r>
          </w:p>
          <w:p>
            <w:pPr>
              <w:widowControl/>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电压1～10kV</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电压＞10～35kV</w:t>
            </w:r>
          </w:p>
        </w:tc>
        <w:tc>
          <w:tcPr>
            <w:tcW w:w="1600" w:type="pct"/>
            <w:tcBorders>
              <w:bottom w:val="outset" w:color="auto" w:sz="6" w:space="0"/>
            </w:tcBorders>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0.8</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0.8</w:t>
            </w:r>
          </w:p>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1.0</w:t>
            </w:r>
          </w:p>
        </w:tc>
        <w:tc>
          <w:tcPr>
            <w:tcW w:w="950" w:type="pct"/>
            <w:tcBorders>
              <w:bottom w:val="outset" w:color="auto" w:sz="6" w:space="0"/>
            </w:tcBorders>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0.50</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0.50</w:t>
            </w:r>
          </w:p>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0.50</w:t>
            </w: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15" w:type="dxa"/>
            <w:left w:w="15" w:type="dxa"/>
            <w:bottom w:w="15" w:type="dxa"/>
            <w:right w:w="15" w:type="dxa"/>
          </w:tblCellMar>
        </w:tblPrEx>
        <w:trPr>
          <w:trHeight w:val="750" w:hRule="atLeast"/>
          <w:tblCellSpacing w:w="0" w:type="dxa"/>
        </w:trPr>
        <w:tc>
          <w:tcPr>
            <w:tcW w:w="2450" w:type="pct"/>
            <w:tcBorders>
              <w:top w:val="outset" w:color="auto" w:sz="6" w:space="0"/>
              <w:bottom w:val="outset" w:color="auto" w:sz="6" w:space="0"/>
            </w:tcBorders>
          </w:tcPr>
          <w:p>
            <w:pPr>
              <w:widowControl/>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电信电缆 直埋电缆</w:t>
            </w:r>
          </w:p>
          <w:p>
            <w:pPr>
              <w:adjustRightInd w:val="0"/>
              <w:snapToGrid w:val="0"/>
              <w:spacing w:line="360" w:lineRule="auto"/>
              <w:ind w:firstLine="900" w:firstLineChars="450"/>
              <w:jc w:val="left"/>
              <w:rPr>
                <w:rFonts w:hint="eastAsia" w:ascii="宋体" w:hAnsi="宋体" w:cs="宋体"/>
                <w:kern w:val="0"/>
                <w:szCs w:val="21"/>
              </w:rPr>
            </w:pPr>
            <w:r>
              <w:rPr>
                <w:rFonts w:hint="eastAsia" w:ascii="宋体" w:hAnsi="宋体" w:cs="宋体"/>
                <w:kern w:val="0"/>
                <w:szCs w:val="21"/>
              </w:rPr>
              <w:t>电缆管道</w:t>
            </w:r>
          </w:p>
        </w:tc>
        <w:tc>
          <w:tcPr>
            <w:tcW w:w="1600" w:type="pct"/>
            <w:tcBorders>
              <w:top w:val="outset" w:color="auto" w:sz="6" w:space="0"/>
              <w:bottom w:val="outset" w:color="auto" w:sz="6" w:space="0"/>
            </w:tcBorders>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0.8</w:t>
            </w:r>
          </w:p>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1.0</w:t>
            </w:r>
          </w:p>
        </w:tc>
        <w:tc>
          <w:tcPr>
            <w:tcW w:w="950" w:type="pct"/>
            <w:tcBorders>
              <w:top w:val="outset" w:color="auto" w:sz="6" w:space="0"/>
              <w:bottom w:val="outset" w:color="auto" w:sz="6" w:space="0"/>
            </w:tcBorders>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0.50</w:t>
            </w:r>
          </w:p>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0.15</w:t>
            </w: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15" w:type="dxa"/>
            <w:left w:w="15" w:type="dxa"/>
            <w:bottom w:w="15" w:type="dxa"/>
            <w:right w:w="15" w:type="dxa"/>
          </w:tblCellMar>
        </w:tblPrEx>
        <w:trPr>
          <w:trHeight w:val="316" w:hRule="atLeast"/>
          <w:tblCellSpacing w:w="0" w:type="dxa"/>
        </w:trPr>
        <w:tc>
          <w:tcPr>
            <w:tcW w:w="2450" w:type="pct"/>
            <w:tcBorders>
              <w:top w:val="outset" w:color="auto" w:sz="6" w:space="0"/>
            </w:tcBorders>
          </w:tcPr>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电缆沟</w:t>
            </w:r>
          </w:p>
        </w:tc>
        <w:tc>
          <w:tcPr>
            <w:tcW w:w="1600" w:type="pct"/>
            <w:tcBorders>
              <w:top w:val="outset" w:color="auto" w:sz="6"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1.5</w:t>
            </w:r>
          </w:p>
        </w:tc>
        <w:tc>
          <w:tcPr>
            <w:tcW w:w="950" w:type="pct"/>
            <w:tcBorders>
              <w:top w:val="outset" w:color="auto" w:sz="6" w:space="0"/>
            </w:tcBorders>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0.25</w:t>
            </w: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15" w:type="dxa"/>
            <w:left w:w="15" w:type="dxa"/>
            <w:bottom w:w="15" w:type="dxa"/>
            <w:right w:w="15" w:type="dxa"/>
          </w:tblCellMar>
        </w:tblPrEx>
        <w:trPr>
          <w:tblCellSpacing w:w="0" w:type="dxa"/>
        </w:trPr>
        <w:tc>
          <w:tcPr>
            <w:tcW w:w="5000" w:type="pct"/>
            <w:gridSpan w:val="3"/>
          </w:tcPr>
          <w:p>
            <w:pPr>
              <w:widowControl/>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注1 氧气与同一使用目的的乙炔、煤气管道同一水平敷设时，管道间最小水平净距可减少到0.25m，但在从沟底起直至管顶以上300mm高范围内，应用松散的土或砂填实后再回填土。2 氧气管道与穿管的电缆交叉时，最小交叉净距可减少到0.25m。3 本表建筑物基础的最小水平净距的规定，是指埋地管道与同一标高或其上的基础最外侧的最小水平净距。4 敷设在铁路及不便开挖的道路下面的管段，应加设套管，套管两端伸出铁路路基或道路路边不应小于1m，路基或路边有排水沟时，应延伸出水沟沟边1m。套管内的管段应尽量减少焊缝。5 表列最小水平净距：管线均自管壁、沟壁或防护设施的外沿或最外一根电缆算起，道路为城市型时，自路面边缘算起；为公路型时，自路肩边缘算起，铁路自轨外侧算起。6 表中管道、电缆和电缆沟最小垂直净距的规定，均指下面管道或管沟外顶与上面管道管底或管沟基础底之间净距。铁路钢轨和道路垂直净距的规定，铁路自轨底算至管顶；道路自路面结构层底算至管顶。</w:t>
            </w:r>
          </w:p>
        </w:tc>
      </w:tr>
    </w:tbl>
    <w:p>
      <w:pPr>
        <w:pStyle w:val="3"/>
        <w:adjustRightInd w:val="0"/>
        <w:snapToGrid w:val="0"/>
        <w:spacing w:before="0" w:after="0" w:line="360" w:lineRule="auto"/>
        <w:ind w:firstLine="480" w:firstLineChars="200"/>
        <w:rPr>
          <w:rFonts w:hint="eastAsia" w:ascii="宋体" w:hAnsi="宋体" w:eastAsia="宋体"/>
          <w:b w:val="0"/>
          <w:kern w:val="0"/>
          <w:sz w:val="24"/>
          <w:szCs w:val="24"/>
        </w:rPr>
      </w:pPr>
      <w:r>
        <w:rPr>
          <w:rFonts w:hint="eastAsia" w:ascii="宋体" w:hAnsi="宋体" w:eastAsia="宋体"/>
          <w:b w:val="0"/>
          <w:kern w:val="0"/>
          <w:sz w:val="24"/>
          <w:szCs w:val="24"/>
        </w:rPr>
        <w:t>8.2 氧气流速</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管道中氧气的最高允许流速，根据管道材质、工作压力，不应超过表9的规定。</w:t>
      </w:r>
    </w:p>
    <w:p>
      <w:pPr>
        <w:widowControl/>
        <w:adjustRightInd w:val="0"/>
        <w:snapToGrid w:val="0"/>
        <w:spacing w:line="360" w:lineRule="auto"/>
        <w:ind w:firstLine="480" w:firstLineChars="200"/>
        <w:rPr>
          <w:rFonts w:hint="eastAsia" w:ascii="宋体" w:hAnsi="宋体" w:cs="宋体"/>
          <w:kern w:val="0"/>
          <w:sz w:val="24"/>
        </w:rPr>
      </w:pPr>
      <w:r>
        <w:rPr>
          <w:rFonts w:hint="eastAsia" w:ascii="宋体" w:hAnsi="宋体" w:cs="宋体"/>
          <w:kern w:val="0"/>
          <w:sz w:val="24"/>
        </w:rPr>
        <w:t>表9                           管道中氧气最高允许流速</w:t>
      </w:r>
    </w:p>
    <w:tbl>
      <w:tblPr>
        <w:tblStyle w:val="5"/>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102"/>
        <w:gridCol w:w="1181"/>
        <w:gridCol w:w="1324"/>
        <w:gridCol w:w="1324"/>
        <w:gridCol w:w="1983"/>
        <w:gridCol w:w="1661"/>
        <w:gridCol w:w="99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75" w:type="pct"/>
            <w:vMerge w:val="restart"/>
            <w:vAlign w:val="center"/>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材质</w:t>
            </w:r>
          </w:p>
        </w:tc>
        <w:tc>
          <w:tcPr>
            <w:tcW w:w="4425" w:type="pct"/>
            <w:gridSpan w:val="6"/>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工作压力p/MPa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75" w:type="pct"/>
            <w:vMerge w:val="continue"/>
          </w:tcPr>
          <w:p/>
        </w:tc>
        <w:tc>
          <w:tcPr>
            <w:tcW w:w="617" w:type="pct"/>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p≤0.1</w:t>
            </w:r>
          </w:p>
        </w:tc>
        <w:tc>
          <w:tcPr>
            <w:tcW w:w="692" w:type="pct"/>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0.1&lt;p≤1.0</w:t>
            </w:r>
          </w:p>
        </w:tc>
        <w:tc>
          <w:tcPr>
            <w:tcW w:w="692" w:type="pct"/>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1.0&lt;p≤3.0</w:t>
            </w:r>
          </w:p>
        </w:tc>
        <w:tc>
          <w:tcPr>
            <w:tcW w:w="1036" w:type="pct"/>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3.0&lt;p≤10.0</w:t>
            </w:r>
          </w:p>
        </w:tc>
        <w:tc>
          <w:tcPr>
            <w:tcW w:w="868" w:type="pct"/>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10.0&lt;p≤15.0</w:t>
            </w:r>
          </w:p>
        </w:tc>
        <w:tc>
          <w:tcPr>
            <w:tcW w:w="520" w:type="pct"/>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p≥15.0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575" w:type="pct"/>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碳钢</w:t>
            </w:r>
          </w:p>
        </w:tc>
        <w:tc>
          <w:tcPr>
            <w:tcW w:w="617" w:type="pct"/>
            <w:vMerge w:val="restart"/>
            <w:vAlign w:val="center"/>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根据管系</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压降确定</w:t>
            </w:r>
          </w:p>
        </w:tc>
        <w:tc>
          <w:tcPr>
            <w:tcW w:w="692" w:type="pct"/>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20m/s</w:t>
            </w:r>
          </w:p>
        </w:tc>
        <w:tc>
          <w:tcPr>
            <w:tcW w:w="692" w:type="pct"/>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15m/s</w:t>
            </w:r>
          </w:p>
        </w:tc>
        <w:tc>
          <w:tcPr>
            <w:tcW w:w="1036" w:type="pct"/>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不允许</w:t>
            </w:r>
          </w:p>
        </w:tc>
        <w:tc>
          <w:tcPr>
            <w:tcW w:w="868" w:type="pct"/>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不允许</w:t>
            </w:r>
          </w:p>
        </w:tc>
        <w:tc>
          <w:tcPr>
            <w:tcW w:w="520" w:type="pct"/>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不允许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575" w:type="pct"/>
            <w:vAlign w:val="center"/>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奥氏体</w:t>
            </w:r>
          </w:p>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不锈钢</w:t>
            </w:r>
          </w:p>
        </w:tc>
        <w:tc>
          <w:tcPr>
            <w:tcW w:w="617" w:type="pct"/>
            <w:vMerge w:val="continue"/>
          </w:tcPr>
          <w:p/>
        </w:tc>
        <w:tc>
          <w:tcPr>
            <w:tcW w:w="692" w:type="pct"/>
            <w:vAlign w:val="center"/>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30m/s</w:t>
            </w:r>
          </w:p>
        </w:tc>
        <w:tc>
          <w:tcPr>
            <w:tcW w:w="692" w:type="pct"/>
            <w:vAlign w:val="center"/>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25m/s</w:t>
            </w:r>
          </w:p>
        </w:tc>
        <w:tc>
          <w:tcPr>
            <w:tcW w:w="1036" w:type="pct"/>
            <w:vAlign w:val="center"/>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p×v≤45MPa·m/s</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（撞击场合）</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p×v≤80MPa·m/s</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（非撞击场合）</w:t>
            </w:r>
          </w:p>
        </w:tc>
        <w:tc>
          <w:tcPr>
            <w:tcW w:w="868" w:type="pct"/>
            <w:vAlign w:val="center"/>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4.5m/s</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（撞击场合）</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8.0m/s</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（非撞击场合）</w:t>
            </w:r>
          </w:p>
        </w:tc>
        <w:tc>
          <w:tcPr>
            <w:tcW w:w="520" w:type="pct"/>
            <w:vAlign w:val="center"/>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4.5m/s</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000" w:type="pct"/>
            <w:gridSpan w:val="7"/>
          </w:tcPr>
          <w:p>
            <w:pPr>
              <w:widowControl/>
              <w:adjustRightInd w:val="0"/>
              <w:snapToGrid w:val="0"/>
              <w:spacing w:line="360" w:lineRule="auto"/>
              <w:rPr>
                <w:rFonts w:hint="eastAsia" w:ascii="宋体" w:hAnsi="宋体" w:cs="宋体"/>
                <w:kern w:val="0"/>
                <w:szCs w:val="21"/>
              </w:rPr>
            </w:pPr>
            <w:r>
              <w:rPr>
                <w:rFonts w:hint="eastAsia" w:ascii="宋体" w:hAnsi="宋体" w:cs="宋体"/>
                <w:kern w:val="0"/>
                <w:szCs w:val="21"/>
              </w:rPr>
              <w:t>注1 最高允许流速是指管系最低工作压力、最高工作温度时的实际流速。2 撞击场合和非撞击场合：使流体流动方向突然改变或产生漩涡的位置，从而引起流体中颗粒对管壁的撞击，这样的位置称做撞击场合，否则称为非撞击场合。3 铜及铜合金（含铝铜合金除外）、镍及镍铜合金，在小于或等于21.0MPa条件下，流速在压力降允许时没有限制。</w:t>
            </w:r>
          </w:p>
        </w:tc>
      </w:tr>
    </w:tbl>
    <w:p>
      <w:pPr>
        <w:pStyle w:val="3"/>
        <w:adjustRightInd w:val="0"/>
        <w:snapToGrid w:val="0"/>
        <w:spacing w:before="0" w:after="0" w:line="360" w:lineRule="auto"/>
        <w:ind w:firstLine="480" w:firstLineChars="200"/>
        <w:rPr>
          <w:rFonts w:hint="eastAsia" w:ascii="宋体" w:hAnsi="宋体" w:eastAsia="宋体"/>
          <w:b w:val="0"/>
          <w:kern w:val="0"/>
          <w:sz w:val="24"/>
          <w:szCs w:val="24"/>
        </w:rPr>
      </w:pPr>
      <w:r>
        <w:rPr>
          <w:rFonts w:hint="eastAsia" w:ascii="宋体" w:hAnsi="宋体" w:eastAsia="宋体"/>
          <w:b w:val="0"/>
          <w:kern w:val="0"/>
          <w:sz w:val="24"/>
          <w:szCs w:val="24"/>
        </w:rPr>
        <w:t>8.3 管道材质</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氧气管道材质的选用应符合表10规定。</w:t>
      </w:r>
    </w:p>
    <w:p>
      <w:pPr>
        <w:pStyle w:val="3"/>
        <w:adjustRightInd w:val="0"/>
        <w:snapToGrid w:val="0"/>
        <w:spacing w:before="0" w:after="0" w:line="360" w:lineRule="auto"/>
        <w:ind w:firstLine="480" w:firstLineChars="200"/>
        <w:rPr>
          <w:rFonts w:hint="eastAsia" w:ascii="宋体" w:hAnsi="宋体" w:eastAsia="宋体"/>
          <w:b w:val="0"/>
          <w:kern w:val="0"/>
          <w:sz w:val="24"/>
          <w:szCs w:val="24"/>
        </w:rPr>
      </w:pPr>
      <w:r>
        <w:rPr>
          <w:rFonts w:hint="eastAsia" w:ascii="宋体" w:hAnsi="宋体" w:eastAsia="宋体"/>
          <w:b w:val="0"/>
          <w:kern w:val="0"/>
          <w:sz w:val="24"/>
          <w:szCs w:val="24"/>
        </w:rPr>
        <w:t>8.4 管件选用</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8.4.1 氧气管道上的弯头、变径管及三通的选用，应符合下列要求：</w:t>
      </w:r>
    </w:p>
    <w:p>
      <w:pPr>
        <w:widowControl/>
        <w:adjustRightInd w:val="0"/>
        <w:snapToGrid w:val="0"/>
        <w:spacing w:line="360" w:lineRule="auto"/>
        <w:ind w:firstLine="480" w:firstLineChars="200"/>
        <w:jc w:val="left"/>
        <w:rPr>
          <w:rFonts w:hint="eastAsia" w:ascii="宋体" w:hAnsi="宋体" w:cs="宋体"/>
          <w:kern w:val="0"/>
          <w:sz w:val="24"/>
        </w:rPr>
        <w:sectPr>
          <w:pgSz w:w="11906" w:h="16838"/>
          <w:pgMar w:top="1418" w:right="1134" w:bottom="1134" w:left="1418" w:header="851" w:footer="992" w:gutter="0"/>
          <w:cols w:space="425" w:num="1"/>
          <w:docGrid w:type="lines" w:linePitch="312" w:charSpace="0"/>
        </w:sectPr>
      </w:pPr>
      <w:r>
        <w:rPr>
          <w:rFonts w:hint="eastAsia" w:ascii="宋体" w:hAnsi="宋体" w:cs="宋体"/>
          <w:kern w:val="0"/>
          <w:sz w:val="24"/>
        </w:rPr>
        <w:t>a)氧气管道的弯头严禁采用褶皱弯头，当采用冷弯或热弯弯制碳钢弯头时，弯曲半径不应小于公称直径的5倍；当采用压制对焊弯头时，宜选用长半径弯头。</w:t>
      </w:r>
    </w:p>
    <w:p>
      <w:pPr>
        <w:widowControl/>
        <w:adjustRightInd w:val="0"/>
        <w:snapToGrid w:val="0"/>
        <w:spacing w:line="360" w:lineRule="auto"/>
        <w:ind w:firstLine="480" w:firstLineChars="200"/>
        <w:rPr>
          <w:rFonts w:hint="eastAsia" w:ascii="宋体" w:hAnsi="宋体" w:cs="宋体"/>
          <w:kern w:val="0"/>
          <w:sz w:val="24"/>
        </w:rPr>
      </w:pPr>
      <w:r>
        <w:rPr>
          <w:rFonts w:hint="eastAsia" w:ascii="宋体" w:hAnsi="宋体" w:cs="宋体"/>
          <w:kern w:val="0"/>
          <w:sz w:val="24"/>
        </w:rPr>
        <w:t>表10                                           氧气管道材质选用表</w:t>
      </w:r>
    </w:p>
    <w:tbl>
      <w:tblPr>
        <w:tblStyle w:val="5"/>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3295"/>
        <w:gridCol w:w="551"/>
        <w:gridCol w:w="1241"/>
        <w:gridCol w:w="435"/>
        <w:gridCol w:w="3321"/>
        <w:gridCol w:w="435"/>
        <w:gridCol w:w="3153"/>
        <w:gridCol w:w="435"/>
        <w:gridCol w:w="1201"/>
        <w:gridCol w:w="43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136" w:type="pct"/>
            <w:vAlign w:val="center"/>
          </w:tcPr>
          <w:p>
            <w:pPr>
              <w:widowControl/>
              <w:adjustRightInd w:val="0"/>
              <w:snapToGrid w:val="0"/>
              <w:spacing w:line="360" w:lineRule="auto"/>
              <w:jc w:val="center"/>
              <w:rPr>
                <w:rFonts w:hint="eastAsia" w:ascii="宋体" w:hAnsi="宋体" w:cs="宋体"/>
                <w:kern w:val="0"/>
                <w:sz w:val="28"/>
                <w:szCs w:val="28"/>
              </w:rPr>
            </w:pPr>
            <w:r>
              <w:rPr>
                <w:rFonts w:hint="eastAsia" w:ascii="宋体" w:hAnsi="宋体" w:cs="宋体"/>
                <w:kern w:val="0"/>
                <w:szCs w:val="21"/>
              </w:rPr>
              <w:t>工作压力p/MPa</w:t>
            </w:r>
          </w:p>
        </w:tc>
        <w:tc>
          <w:tcPr>
            <w:tcW w:w="618" w:type="pct"/>
            <w:gridSpan w:val="2"/>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p≤0.6</w:t>
            </w:r>
          </w:p>
        </w:tc>
        <w:tc>
          <w:tcPr>
            <w:tcW w:w="1295" w:type="pct"/>
            <w:gridSpan w:val="2"/>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0.6&lt;p～≤3.0</w:t>
            </w:r>
          </w:p>
        </w:tc>
        <w:tc>
          <w:tcPr>
            <w:tcW w:w="1237" w:type="pct"/>
            <w:gridSpan w:val="2"/>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3.0&lt;p≤10</w:t>
            </w:r>
          </w:p>
        </w:tc>
        <w:tc>
          <w:tcPr>
            <w:tcW w:w="564" w:type="pct"/>
            <w:gridSpan w:val="2"/>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p＞10</w:t>
            </w:r>
          </w:p>
        </w:tc>
        <w:tc>
          <w:tcPr>
            <w:tcW w:w="150" w:type="pct"/>
            <w:vMerge w:val="restart"/>
            <w:vAlign w:val="center"/>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液</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氧</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管</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136" w:type="pct"/>
            <w:vAlign w:val="center"/>
          </w:tcPr>
          <w:p>
            <w:pPr>
              <w:widowControl/>
              <w:adjustRightInd w:val="0"/>
              <w:snapToGrid w:val="0"/>
              <w:spacing w:line="360" w:lineRule="auto"/>
              <w:jc w:val="center"/>
              <w:rPr>
                <w:rFonts w:hint="eastAsia" w:ascii="宋体" w:hAnsi="宋体" w:cs="宋体"/>
                <w:kern w:val="0"/>
                <w:sz w:val="28"/>
                <w:szCs w:val="28"/>
              </w:rPr>
            </w:pPr>
            <w:r>
              <w:rPr>
                <w:rFonts w:hint="eastAsia" w:ascii="宋体" w:hAnsi="宋体" w:cs="宋体"/>
                <w:kern w:val="0"/>
                <w:szCs w:val="21"/>
              </w:rPr>
              <w:t>管质类别</w:t>
            </w:r>
          </w:p>
        </w:tc>
        <w:tc>
          <w:tcPr>
            <w:tcW w:w="190" w:type="pct"/>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一</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般</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场</w:t>
            </w:r>
          </w:p>
          <w:p>
            <w:pPr>
              <w:widowControl/>
              <w:adjustRightInd w:val="0"/>
              <w:snapToGrid w:val="0"/>
              <w:spacing w:line="360" w:lineRule="auto"/>
              <w:jc w:val="center"/>
              <w:rPr>
                <w:rFonts w:hint="eastAsia" w:ascii="宋体" w:hAnsi="宋体" w:cs="宋体"/>
                <w:kern w:val="0"/>
                <w:sz w:val="28"/>
                <w:szCs w:val="28"/>
              </w:rPr>
            </w:pPr>
            <w:r>
              <w:rPr>
                <w:rFonts w:hint="eastAsia" w:ascii="宋体" w:hAnsi="宋体" w:cs="宋体"/>
                <w:kern w:val="0"/>
                <w:szCs w:val="21"/>
              </w:rPr>
              <w:t>所</w:t>
            </w:r>
          </w:p>
        </w:tc>
        <w:tc>
          <w:tcPr>
            <w:tcW w:w="428" w:type="pct"/>
          </w:tcPr>
          <w:p>
            <w:pPr>
              <w:widowControl/>
              <w:adjustRightInd w:val="0"/>
              <w:snapToGrid w:val="0"/>
              <w:spacing w:line="360" w:lineRule="auto"/>
              <w:rPr>
                <w:rFonts w:hint="eastAsia" w:ascii="宋体" w:hAnsi="宋体" w:cs="宋体"/>
                <w:kern w:val="0"/>
                <w:sz w:val="28"/>
                <w:szCs w:val="28"/>
              </w:rPr>
            </w:pPr>
            <w:r>
              <w:rPr>
                <w:rFonts w:hint="eastAsia" w:ascii="宋体" w:hAnsi="宋体" w:cs="宋体"/>
                <w:kern w:val="0"/>
                <w:szCs w:val="21"/>
              </w:rPr>
              <w:t>分配主管上阀门频繁操作区阀后，放散阀后</w:t>
            </w:r>
          </w:p>
        </w:tc>
        <w:tc>
          <w:tcPr>
            <w:tcW w:w="150" w:type="pct"/>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一</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般</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场</w:t>
            </w:r>
          </w:p>
          <w:p>
            <w:pPr>
              <w:widowControl/>
              <w:adjustRightInd w:val="0"/>
              <w:snapToGrid w:val="0"/>
              <w:spacing w:line="360" w:lineRule="auto"/>
              <w:jc w:val="center"/>
              <w:rPr>
                <w:rFonts w:hint="eastAsia" w:ascii="宋体" w:hAnsi="宋体" w:cs="宋体"/>
                <w:kern w:val="0"/>
                <w:sz w:val="28"/>
                <w:szCs w:val="28"/>
              </w:rPr>
            </w:pPr>
            <w:r>
              <w:rPr>
                <w:rFonts w:hint="eastAsia" w:ascii="宋体" w:hAnsi="宋体" w:cs="宋体"/>
                <w:kern w:val="0"/>
                <w:szCs w:val="21"/>
              </w:rPr>
              <w:t>所</w:t>
            </w:r>
          </w:p>
        </w:tc>
        <w:tc>
          <w:tcPr>
            <w:tcW w:w="1145" w:type="pct"/>
          </w:tcPr>
          <w:p>
            <w:pPr>
              <w:widowControl/>
              <w:adjustRightInd w:val="0"/>
              <w:snapToGrid w:val="0"/>
              <w:spacing w:line="360" w:lineRule="auto"/>
              <w:rPr>
                <w:rFonts w:hint="eastAsia" w:ascii="宋体" w:hAnsi="宋体" w:cs="宋体"/>
                <w:kern w:val="0"/>
                <w:sz w:val="28"/>
                <w:szCs w:val="28"/>
              </w:rPr>
            </w:pPr>
            <w:r>
              <w:rPr>
                <w:rFonts w:hint="eastAsia" w:ascii="宋体" w:hAnsi="宋体" w:cs="宋体"/>
                <w:kern w:val="0"/>
                <w:szCs w:val="21"/>
              </w:rPr>
              <w:t>阀后5倍外径（并不小于1.5m）范围；压力调节阀组前后各5倍外径（各不小于1.5m）范围内；压力容器接管部位；氧压车间内部；放散阀以后；湿氧输送</w:t>
            </w:r>
          </w:p>
        </w:tc>
        <w:tc>
          <w:tcPr>
            <w:tcW w:w="150" w:type="pct"/>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一</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般</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场</w:t>
            </w:r>
          </w:p>
          <w:p>
            <w:pPr>
              <w:widowControl/>
              <w:adjustRightInd w:val="0"/>
              <w:snapToGrid w:val="0"/>
              <w:spacing w:line="360" w:lineRule="auto"/>
              <w:jc w:val="center"/>
              <w:rPr>
                <w:rFonts w:hint="eastAsia" w:ascii="宋体" w:hAnsi="宋体" w:cs="宋体"/>
                <w:kern w:val="0"/>
                <w:sz w:val="28"/>
                <w:szCs w:val="28"/>
              </w:rPr>
            </w:pPr>
            <w:r>
              <w:rPr>
                <w:rFonts w:hint="eastAsia" w:ascii="宋体" w:hAnsi="宋体" w:cs="宋体"/>
                <w:kern w:val="0"/>
                <w:szCs w:val="21"/>
              </w:rPr>
              <w:t>所</w:t>
            </w:r>
          </w:p>
        </w:tc>
        <w:tc>
          <w:tcPr>
            <w:tcW w:w="1087" w:type="pct"/>
          </w:tcPr>
          <w:p>
            <w:pPr>
              <w:widowControl/>
              <w:adjustRightInd w:val="0"/>
              <w:snapToGrid w:val="0"/>
              <w:spacing w:line="360" w:lineRule="auto"/>
              <w:rPr>
                <w:rFonts w:hint="eastAsia" w:ascii="宋体" w:hAnsi="宋体" w:cs="宋体"/>
                <w:kern w:val="0"/>
                <w:sz w:val="28"/>
                <w:szCs w:val="28"/>
              </w:rPr>
            </w:pPr>
            <w:r>
              <w:rPr>
                <w:rFonts w:hint="eastAsia" w:ascii="宋体" w:hAnsi="宋体" w:cs="宋体"/>
                <w:kern w:val="0"/>
                <w:szCs w:val="21"/>
              </w:rPr>
              <w:t>阀后5倍外径（并不小于1.5m）范围；压力调节阀组前后各5倍外径（各不小于1.5m）范围内；压力容器接管部位；氧压车间内部；放散阀以后；湿氧输送</w:t>
            </w:r>
          </w:p>
        </w:tc>
        <w:tc>
          <w:tcPr>
            <w:tcW w:w="150" w:type="pct"/>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一</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般</w:t>
            </w:r>
          </w:p>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扬</w:t>
            </w:r>
          </w:p>
          <w:p>
            <w:pPr>
              <w:widowControl/>
              <w:adjustRightInd w:val="0"/>
              <w:snapToGrid w:val="0"/>
              <w:spacing w:line="360" w:lineRule="auto"/>
              <w:jc w:val="center"/>
              <w:rPr>
                <w:rFonts w:hint="eastAsia" w:ascii="宋体" w:hAnsi="宋体" w:cs="宋体"/>
                <w:kern w:val="0"/>
                <w:sz w:val="28"/>
                <w:szCs w:val="28"/>
              </w:rPr>
            </w:pPr>
            <w:r>
              <w:rPr>
                <w:rFonts w:hint="eastAsia" w:ascii="宋体" w:hAnsi="宋体" w:cs="宋体"/>
                <w:kern w:val="0"/>
                <w:szCs w:val="21"/>
              </w:rPr>
              <w:t>所</w:t>
            </w:r>
          </w:p>
        </w:tc>
        <w:tc>
          <w:tcPr>
            <w:tcW w:w="414" w:type="pct"/>
          </w:tcPr>
          <w:p>
            <w:pPr>
              <w:widowControl/>
              <w:adjustRightInd w:val="0"/>
              <w:snapToGrid w:val="0"/>
              <w:spacing w:line="360" w:lineRule="auto"/>
              <w:rPr>
                <w:rFonts w:hint="eastAsia" w:ascii="宋体" w:hAnsi="宋体" w:cs="宋体"/>
                <w:kern w:val="0"/>
                <w:sz w:val="28"/>
                <w:szCs w:val="28"/>
              </w:rPr>
            </w:pPr>
            <w:r>
              <w:rPr>
                <w:rFonts w:hint="eastAsia" w:ascii="宋体" w:hAnsi="宋体" w:cs="宋体"/>
                <w:kern w:val="0"/>
                <w:szCs w:val="21"/>
              </w:rPr>
              <w:t>氧气充装台、汇流排</w:t>
            </w:r>
          </w:p>
        </w:tc>
        <w:tc>
          <w:tcPr>
            <w:tcW w:w="150" w:type="pct"/>
            <w:vMerge w:val="continue"/>
          </w:tc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136" w:type="pct"/>
          </w:tcPr>
          <w:p>
            <w:pPr>
              <w:widowControl/>
              <w:adjustRightInd w:val="0"/>
              <w:snapToGrid w:val="0"/>
              <w:spacing w:line="360" w:lineRule="auto"/>
              <w:rPr>
                <w:rFonts w:hint="eastAsia" w:ascii="宋体" w:hAnsi="宋体" w:cs="宋体"/>
                <w:kern w:val="0"/>
                <w:szCs w:val="21"/>
              </w:rPr>
            </w:pPr>
            <w:r>
              <w:rPr>
                <w:rFonts w:hint="eastAsia" w:ascii="宋体" w:hAnsi="宋体" w:cs="宋体"/>
                <w:kern w:val="0"/>
                <w:szCs w:val="21"/>
              </w:rPr>
              <w:t>钢板卷焊管</w:t>
            </w:r>
          </w:p>
          <w:p>
            <w:pPr>
              <w:widowControl/>
              <w:adjustRightInd w:val="0"/>
              <w:snapToGrid w:val="0"/>
              <w:spacing w:line="360" w:lineRule="auto"/>
              <w:rPr>
                <w:rFonts w:hint="eastAsia" w:ascii="宋体" w:hAnsi="宋体" w:cs="宋体"/>
                <w:kern w:val="0"/>
                <w:szCs w:val="21"/>
              </w:rPr>
            </w:pPr>
            <w:r>
              <w:rPr>
                <w:rFonts w:hint="eastAsia" w:ascii="宋体" w:hAnsi="宋体" w:cs="宋体"/>
                <w:kern w:val="0"/>
                <w:szCs w:val="21"/>
              </w:rPr>
              <w:t>焊接钢管（GB/T 3091、SY/T 5037）</w:t>
            </w:r>
          </w:p>
          <w:p>
            <w:pPr>
              <w:widowControl/>
              <w:adjustRightInd w:val="0"/>
              <w:snapToGrid w:val="0"/>
              <w:spacing w:line="360" w:lineRule="auto"/>
              <w:rPr>
                <w:rFonts w:hint="eastAsia" w:ascii="宋体" w:hAnsi="宋体" w:cs="宋体"/>
                <w:kern w:val="0"/>
                <w:szCs w:val="21"/>
              </w:rPr>
            </w:pPr>
            <w:r>
              <w:rPr>
                <w:rFonts w:hint="eastAsia" w:ascii="宋体" w:hAnsi="宋体" w:cs="宋体"/>
                <w:kern w:val="0"/>
                <w:szCs w:val="21"/>
              </w:rPr>
              <w:t>无缝钢管（GB/T 8163)</w:t>
            </w:r>
          </w:p>
          <w:p>
            <w:pPr>
              <w:widowControl/>
              <w:adjustRightInd w:val="0"/>
              <w:snapToGrid w:val="0"/>
              <w:spacing w:line="360" w:lineRule="auto"/>
              <w:rPr>
                <w:rFonts w:hint="eastAsia" w:ascii="宋体" w:hAnsi="宋体" w:cs="宋体"/>
                <w:kern w:val="0"/>
                <w:szCs w:val="21"/>
              </w:rPr>
            </w:pPr>
            <w:r>
              <w:rPr>
                <w:rFonts w:hint="eastAsia" w:ascii="宋体" w:hAnsi="宋体" w:cs="宋体"/>
                <w:kern w:val="0"/>
                <w:szCs w:val="21"/>
              </w:rPr>
              <w:t>不锈钢焊接钢管（GB/T 12771）</w:t>
            </w:r>
          </w:p>
          <w:p>
            <w:pPr>
              <w:widowControl/>
              <w:adjustRightInd w:val="0"/>
              <w:snapToGrid w:val="0"/>
              <w:spacing w:line="360" w:lineRule="auto"/>
              <w:rPr>
                <w:rFonts w:hint="eastAsia" w:ascii="宋体" w:hAnsi="宋体" w:cs="宋体"/>
                <w:kern w:val="0"/>
                <w:szCs w:val="21"/>
              </w:rPr>
            </w:pPr>
            <w:r>
              <w:rPr>
                <w:rFonts w:hint="eastAsia" w:ascii="宋体" w:hAnsi="宋体" w:cs="宋体"/>
                <w:kern w:val="0"/>
                <w:szCs w:val="21"/>
              </w:rPr>
              <w:t>不锈钢板卷焊管</w:t>
            </w:r>
          </w:p>
          <w:p>
            <w:pPr>
              <w:widowControl/>
              <w:adjustRightInd w:val="0"/>
              <w:snapToGrid w:val="0"/>
              <w:spacing w:line="360" w:lineRule="auto"/>
              <w:rPr>
                <w:rFonts w:hint="eastAsia" w:ascii="宋体" w:hAnsi="宋体" w:cs="宋体"/>
                <w:kern w:val="0"/>
                <w:szCs w:val="21"/>
              </w:rPr>
            </w:pPr>
            <w:r>
              <w:rPr>
                <w:rFonts w:hint="eastAsia" w:ascii="宋体" w:hAnsi="宋体" w:cs="宋体"/>
                <w:kern w:val="0"/>
                <w:szCs w:val="21"/>
              </w:rPr>
              <w:t>不锈钢无缝钢管（GB/T 2270）</w:t>
            </w:r>
          </w:p>
          <w:p>
            <w:pPr>
              <w:widowControl/>
              <w:adjustRightInd w:val="0"/>
              <w:snapToGrid w:val="0"/>
              <w:spacing w:line="360" w:lineRule="auto"/>
              <w:rPr>
                <w:rFonts w:hint="eastAsia" w:ascii="宋体" w:hAnsi="宋体" w:cs="宋体"/>
                <w:kern w:val="0"/>
                <w:szCs w:val="21"/>
              </w:rPr>
            </w:pPr>
            <w:r>
              <w:rPr>
                <w:rFonts w:hint="eastAsia" w:ascii="宋体" w:hAnsi="宋体" w:cs="宋体"/>
                <w:kern w:val="0"/>
                <w:szCs w:val="21"/>
              </w:rPr>
              <w:t>铜及铜合金挤制管（YS/T 662）</w:t>
            </w:r>
          </w:p>
          <w:p>
            <w:pPr>
              <w:widowControl/>
              <w:adjustRightInd w:val="0"/>
              <w:snapToGrid w:val="0"/>
              <w:spacing w:line="360" w:lineRule="auto"/>
              <w:rPr>
                <w:rFonts w:hint="eastAsia" w:ascii="宋体" w:hAnsi="宋体" w:cs="宋体"/>
                <w:kern w:val="0"/>
                <w:szCs w:val="21"/>
              </w:rPr>
            </w:pPr>
            <w:r>
              <w:rPr>
                <w:rFonts w:hint="eastAsia" w:ascii="宋体" w:hAnsi="宋体" w:cs="宋体"/>
                <w:kern w:val="0"/>
                <w:szCs w:val="21"/>
              </w:rPr>
              <w:t>铜及铜合金拉制管（GB/T 1527）</w:t>
            </w:r>
          </w:p>
          <w:p>
            <w:pPr>
              <w:widowControl/>
              <w:adjustRightInd w:val="0"/>
              <w:snapToGrid w:val="0"/>
              <w:spacing w:line="360" w:lineRule="auto"/>
              <w:rPr>
                <w:rFonts w:hint="eastAsia" w:ascii="宋体" w:hAnsi="宋体" w:cs="宋体"/>
                <w:kern w:val="0"/>
                <w:szCs w:val="21"/>
              </w:rPr>
            </w:pPr>
            <w:r>
              <w:rPr>
                <w:rFonts w:hint="eastAsia" w:ascii="宋体" w:hAnsi="宋体" w:cs="宋体"/>
                <w:kern w:val="0"/>
                <w:szCs w:val="21"/>
              </w:rPr>
              <w:t>镍及镍基合金</w:t>
            </w:r>
          </w:p>
        </w:tc>
        <w:tc>
          <w:tcPr>
            <w:tcW w:w="190" w:type="pct"/>
            <w:vAlign w:val="center"/>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tc>
        <w:tc>
          <w:tcPr>
            <w:tcW w:w="428" w:type="pct"/>
            <w:vAlign w:val="center"/>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tc>
        <w:tc>
          <w:tcPr>
            <w:tcW w:w="150" w:type="pct"/>
            <w:vAlign w:val="center"/>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tc>
        <w:tc>
          <w:tcPr>
            <w:tcW w:w="1145" w:type="pct"/>
            <w:vAlign w:val="center"/>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tc>
        <w:tc>
          <w:tcPr>
            <w:tcW w:w="150" w:type="pct"/>
            <w:vAlign w:val="center"/>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tc>
        <w:tc>
          <w:tcPr>
            <w:tcW w:w="1087" w:type="pct"/>
            <w:vAlign w:val="center"/>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tc>
        <w:tc>
          <w:tcPr>
            <w:tcW w:w="150" w:type="pct"/>
            <w:vAlign w:val="center"/>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tc>
        <w:tc>
          <w:tcPr>
            <w:tcW w:w="414" w:type="pct"/>
            <w:vAlign w:val="center"/>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tc>
        <w:tc>
          <w:tcPr>
            <w:tcW w:w="150" w:type="pct"/>
            <w:vAlign w:val="center"/>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000" w:type="pct"/>
            <w:gridSpan w:val="10"/>
          </w:tcPr>
          <w:p>
            <w:pPr>
              <w:widowControl/>
              <w:adjustRightInd w:val="0"/>
              <w:snapToGrid w:val="0"/>
              <w:spacing w:line="360" w:lineRule="auto"/>
              <w:jc w:val="left"/>
              <w:rPr>
                <w:rFonts w:ascii="宋体" w:hAnsi="宋体" w:cs="宋体"/>
                <w:kern w:val="0"/>
                <w:szCs w:val="21"/>
              </w:rPr>
            </w:pPr>
            <w:r>
              <w:rPr>
                <w:rFonts w:hint="eastAsia" w:ascii="宋体" w:hAnsi="宋体" w:cs="宋体"/>
                <w:kern w:val="0"/>
                <w:szCs w:val="21"/>
              </w:rPr>
              <w:t>注1 “√”允许采用，“×”不允许采用。</w:t>
            </w:r>
          </w:p>
          <w:p>
            <w:pPr>
              <w:widowControl/>
              <w:adjustRightInd w:val="0"/>
              <w:snapToGrid w:val="0"/>
              <w:spacing w:line="360" w:lineRule="auto"/>
              <w:jc w:val="left"/>
              <w:rPr>
                <w:rFonts w:ascii="宋体" w:hAnsi="宋体" w:cs="宋体"/>
                <w:kern w:val="0"/>
                <w:szCs w:val="21"/>
              </w:rPr>
            </w:pPr>
            <w:r>
              <w:rPr>
                <w:rFonts w:hint="eastAsia" w:ascii="宋体" w:hAnsi="宋体" w:cs="宋体"/>
                <w:kern w:val="0"/>
                <w:szCs w:val="21"/>
              </w:rPr>
              <w:t>2 碳钢钢板卷焊管宜用于工作压力小于0.1MPa，且管径超过现有焊接钢管、无缝钢管产品管径情况下。</w:t>
            </w:r>
          </w:p>
          <w:p>
            <w:pPr>
              <w:widowControl/>
              <w:adjustRightInd w:val="0"/>
              <w:snapToGrid w:val="0"/>
              <w:spacing w:line="360" w:lineRule="auto"/>
              <w:rPr>
                <w:rFonts w:hint="eastAsia" w:ascii="宋体" w:hAnsi="宋体" w:cs="宋体"/>
                <w:kern w:val="0"/>
                <w:szCs w:val="21"/>
              </w:rPr>
            </w:pPr>
            <w:r>
              <w:rPr>
                <w:rFonts w:hint="eastAsia" w:ascii="宋体" w:hAnsi="宋体" w:cs="宋体"/>
                <w:kern w:val="0"/>
                <w:szCs w:val="21"/>
              </w:rPr>
              <w:t>3 表中阀指干管阀门、供一个系统的支管阀门、车间入口阀门。</w:t>
            </w:r>
          </w:p>
          <w:p>
            <w:pPr>
              <w:widowControl/>
              <w:adjustRightInd w:val="0"/>
              <w:snapToGrid w:val="0"/>
              <w:spacing w:line="360" w:lineRule="auto"/>
              <w:rPr>
                <w:rFonts w:hint="eastAsia" w:ascii="宋体" w:hAnsi="宋体" w:cs="宋体"/>
                <w:kern w:val="0"/>
                <w:szCs w:val="21"/>
              </w:rPr>
            </w:pPr>
            <w:r>
              <w:rPr>
                <w:rFonts w:hint="eastAsia" w:ascii="宋体" w:hAnsi="宋体" w:cs="宋体"/>
                <w:kern w:val="0"/>
                <w:szCs w:val="21"/>
              </w:rPr>
              <w:t>4 氧气储罐区内氧气管道宜采用不锈钢。</w:t>
            </w:r>
          </w:p>
          <w:p>
            <w:pPr>
              <w:widowControl/>
              <w:adjustRightInd w:val="0"/>
              <w:snapToGrid w:val="0"/>
              <w:spacing w:line="360" w:lineRule="auto"/>
              <w:rPr>
                <w:rFonts w:hint="eastAsia" w:ascii="宋体" w:hAnsi="宋体" w:cs="宋体"/>
                <w:kern w:val="0"/>
                <w:sz w:val="28"/>
                <w:szCs w:val="28"/>
              </w:rPr>
            </w:pPr>
            <w:r>
              <w:rPr>
                <w:rFonts w:hint="eastAsia" w:ascii="宋体" w:hAnsi="宋体" w:cs="宋体"/>
                <w:kern w:val="0"/>
                <w:szCs w:val="21"/>
              </w:rPr>
              <w:t>5.工作压力大于3.0MPa的铜合金不包括含铝铜合金。</w:t>
            </w:r>
          </w:p>
        </w:tc>
      </w:tr>
    </w:tbl>
    <w:p>
      <w:pPr>
        <w:sectPr>
          <w:pgSz w:w="16838" w:h="11906" w:orient="landscape"/>
          <w:pgMar w:top="1418" w:right="1418" w:bottom="1134" w:left="1134" w:header="851" w:footer="992" w:gutter="0"/>
          <w:cols w:space="425" w:num="1"/>
          <w:docGrid w:type="lines" w:linePitch="312" w:charSpace="0"/>
        </w:sectPr>
      </w:pP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对工作压力不大于0.1MPa的钢板卷焊管，可以采用斜接弯头，90°弯头应采用中间为大于或等于二段管制作的管件，弯头内壁应平滑，无锐边、毛刺及焊瘤；</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b)氧气管道的变径管宜采用压制对焊管件，当焊接制作时，变径部分长度不宜小于两端管外径差值的3倍；其内壁应平滑，无锐边、毛刺及焊瘤；</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c)氧气管道的三通宜采用压制对焊，当不能取得时，应在工厂或现场预制，但应加工到无锐角、无突出部位及焊瘤。</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8.4.2 氧气管道上的法兰应按国家、行业有关的现行标准选用；管道法兰的垫片宜按表11选用。</w:t>
      </w:r>
    </w:p>
    <w:p>
      <w:pPr>
        <w:widowControl/>
        <w:adjustRightInd w:val="0"/>
        <w:snapToGrid w:val="0"/>
        <w:spacing w:line="360" w:lineRule="auto"/>
        <w:ind w:firstLine="480" w:firstLineChars="200"/>
        <w:rPr>
          <w:rFonts w:hint="eastAsia" w:ascii="宋体" w:hAnsi="宋体" w:cs="宋体"/>
          <w:kern w:val="0"/>
          <w:sz w:val="24"/>
        </w:rPr>
      </w:pPr>
      <w:r>
        <w:rPr>
          <w:rFonts w:hint="eastAsia" w:ascii="宋体" w:hAnsi="宋体" w:cs="宋体"/>
          <w:kern w:val="0"/>
          <w:sz w:val="24"/>
        </w:rPr>
        <w:t>表11                氧气管道法兰的垫片</w:t>
      </w:r>
    </w:p>
    <w:tbl>
      <w:tblPr>
        <w:tblStyle w:val="5"/>
        <w:tblW w:w="5000" w:type="pct"/>
        <w:tblCellSpacing w:w="0" w:type="dxa"/>
        <w:tblInd w:w="0" w:type="dxa"/>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Layout w:type="autofit"/>
        <w:tblCellMar>
          <w:top w:w="15" w:type="dxa"/>
          <w:left w:w="15" w:type="dxa"/>
          <w:bottom w:w="15" w:type="dxa"/>
          <w:right w:w="15" w:type="dxa"/>
        </w:tblCellMar>
      </w:tblPr>
      <w:tblGrid>
        <w:gridCol w:w="2341"/>
        <w:gridCol w:w="6329"/>
      </w:tblGrid>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15" w:type="dxa"/>
            <w:left w:w="15" w:type="dxa"/>
            <w:bottom w:w="15" w:type="dxa"/>
            <w:right w:w="15" w:type="dxa"/>
          </w:tblCellMar>
        </w:tblPrEx>
        <w:trPr>
          <w:tblCellSpacing w:w="0" w:type="dxa"/>
        </w:trPr>
        <w:tc>
          <w:tcPr>
            <w:tcW w:w="1350" w:type="pct"/>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工作压力p/MPa</w:t>
            </w:r>
          </w:p>
        </w:tc>
        <w:tc>
          <w:tcPr>
            <w:tcW w:w="3650" w:type="pct"/>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垫 片</w:t>
            </w: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15" w:type="dxa"/>
            <w:left w:w="15" w:type="dxa"/>
            <w:bottom w:w="15" w:type="dxa"/>
            <w:right w:w="15" w:type="dxa"/>
          </w:tblCellMar>
        </w:tblPrEx>
        <w:trPr>
          <w:tblCellSpacing w:w="0" w:type="dxa"/>
        </w:trPr>
        <w:tc>
          <w:tcPr>
            <w:tcW w:w="1350" w:type="pct"/>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p≤0.6</w:t>
            </w:r>
          </w:p>
        </w:tc>
        <w:tc>
          <w:tcPr>
            <w:tcW w:w="3650" w:type="pct"/>
          </w:tcPr>
          <w:p>
            <w:pPr>
              <w:widowControl/>
              <w:adjustRightInd w:val="0"/>
              <w:snapToGrid w:val="0"/>
              <w:spacing w:line="360" w:lineRule="auto"/>
              <w:jc w:val="left"/>
              <w:rPr>
                <w:rFonts w:ascii="宋体" w:hAnsi="宋体" w:cs="宋体"/>
                <w:kern w:val="0"/>
                <w:szCs w:val="21"/>
              </w:rPr>
            </w:pPr>
            <w:r>
              <w:rPr>
                <w:rFonts w:hint="eastAsia" w:ascii="宋体" w:hAnsi="宋体" w:cs="宋体"/>
                <w:kern w:val="0"/>
                <w:szCs w:val="21"/>
              </w:rPr>
              <w:t>聚四氟乙烯垫片、柔性石墨复合垫片</w:t>
            </w: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15" w:type="dxa"/>
            <w:left w:w="15" w:type="dxa"/>
            <w:bottom w:w="15" w:type="dxa"/>
            <w:right w:w="15" w:type="dxa"/>
          </w:tblCellMar>
        </w:tblPrEx>
        <w:trPr>
          <w:tblCellSpacing w:w="0" w:type="dxa"/>
        </w:trPr>
        <w:tc>
          <w:tcPr>
            <w:tcW w:w="1350" w:type="pct"/>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0.6&lt;p≤3.0</w:t>
            </w:r>
          </w:p>
        </w:tc>
        <w:tc>
          <w:tcPr>
            <w:tcW w:w="3650" w:type="pct"/>
          </w:tcPr>
          <w:p>
            <w:pPr>
              <w:widowControl/>
              <w:adjustRightInd w:val="0"/>
              <w:snapToGrid w:val="0"/>
              <w:spacing w:line="360" w:lineRule="auto"/>
              <w:jc w:val="left"/>
              <w:rPr>
                <w:rFonts w:ascii="宋体" w:hAnsi="宋体" w:cs="宋体"/>
                <w:kern w:val="0"/>
                <w:szCs w:val="21"/>
              </w:rPr>
            </w:pPr>
            <w:r>
              <w:rPr>
                <w:rFonts w:hint="eastAsia" w:ascii="宋体" w:hAnsi="宋体" w:cs="宋体"/>
                <w:kern w:val="0"/>
                <w:szCs w:val="21"/>
              </w:rPr>
              <w:t>缠绕式垫片、聚四氟乙烯垫片、柔性石墨复合垫片</w:t>
            </w: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15" w:type="dxa"/>
            <w:left w:w="15" w:type="dxa"/>
            <w:bottom w:w="15" w:type="dxa"/>
            <w:right w:w="15" w:type="dxa"/>
          </w:tblCellMar>
        </w:tblPrEx>
        <w:trPr>
          <w:tblCellSpacing w:w="0" w:type="dxa"/>
        </w:trPr>
        <w:tc>
          <w:tcPr>
            <w:tcW w:w="1350" w:type="pct"/>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3.0&lt;p≤10</w:t>
            </w:r>
          </w:p>
        </w:tc>
        <w:tc>
          <w:tcPr>
            <w:tcW w:w="3650" w:type="pct"/>
          </w:tcPr>
          <w:p>
            <w:pPr>
              <w:widowControl/>
              <w:adjustRightInd w:val="0"/>
              <w:snapToGrid w:val="0"/>
              <w:spacing w:line="360" w:lineRule="auto"/>
              <w:jc w:val="left"/>
              <w:rPr>
                <w:rFonts w:ascii="宋体" w:hAnsi="宋体" w:cs="宋体"/>
                <w:kern w:val="0"/>
                <w:szCs w:val="21"/>
              </w:rPr>
            </w:pPr>
            <w:r>
              <w:rPr>
                <w:rFonts w:hint="eastAsia" w:ascii="宋体" w:hAnsi="宋体" w:cs="宋体"/>
                <w:kern w:val="0"/>
                <w:szCs w:val="21"/>
              </w:rPr>
              <w:t>缠绕式垫片、退火软化铜垫片、镍及镍及合金垫片</w:t>
            </w: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15" w:type="dxa"/>
            <w:left w:w="15" w:type="dxa"/>
            <w:bottom w:w="15" w:type="dxa"/>
            <w:right w:w="15" w:type="dxa"/>
          </w:tblCellMar>
        </w:tblPrEx>
        <w:trPr>
          <w:tblCellSpacing w:w="0" w:type="dxa"/>
        </w:trPr>
        <w:tc>
          <w:tcPr>
            <w:tcW w:w="1350" w:type="pct"/>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p＞10</w:t>
            </w:r>
          </w:p>
        </w:tc>
        <w:tc>
          <w:tcPr>
            <w:tcW w:w="3650" w:type="pct"/>
          </w:tcPr>
          <w:p>
            <w:pPr>
              <w:widowControl/>
              <w:adjustRightInd w:val="0"/>
              <w:snapToGrid w:val="0"/>
              <w:spacing w:line="360" w:lineRule="auto"/>
              <w:jc w:val="left"/>
              <w:rPr>
                <w:rFonts w:ascii="宋体" w:hAnsi="宋体" w:cs="宋体"/>
                <w:kern w:val="0"/>
                <w:szCs w:val="21"/>
              </w:rPr>
            </w:pPr>
            <w:r>
              <w:rPr>
                <w:rFonts w:hint="eastAsia" w:ascii="宋体" w:hAnsi="宋体" w:cs="宋体"/>
                <w:kern w:val="0"/>
                <w:szCs w:val="21"/>
              </w:rPr>
              <w:t>退火软化垫片、镍及镍及合金垫片</w:t>
            </w:r>
          </w:p>
        </w:tc>
      </w:tr>
    </w:tbl>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8.4.3 氧气管道的连接应采用焊接，但与设备、阀门连接处可采用法兰或螺纹连接。丝扣连接处，应采用四氟乙烯薄膜作为填料，严禁用涂铅红的麻、棉丝或其他含油脂的材料。</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8.4.4 氧气调节阀前应设置定期清洗的过滤器。氧气过滤器壳体应用不锈钢或铜及铜合金，过滤器内件应用铜及铜合金。滤网除满足过滤功能外，并应有足够的强度，以防滤网碎裂。滤网宜优先选用镍铜合金材质，其次为铜合金（含铝铜合金除外）材质，网孔尺寸宜为0.16～0.25mm（60目～80目）。</w:t>
      </w:r>
    </w:p>
    <w:p>
      <w:pPr>
        <w:pStyle w:val="3"/>
        <w:adjustRightInd w:val="0"/>
        <w:snapToGrid w:val="0"/>
        <w:spacing w:before="0" w:after="0" w:line="360" w:lineRule="auto"/>
        <w:ind w:firstLine="480" w:firstLineChars="200"/>
        <w:rPr>
          <w:rFonts w:hint="eastAsia" w:ascii="宋体" w:hAnsi="宋体" w:eastAsia="宋体"/>
          <w:b w:val="0"/>
          <w:kern w:val="0"/>
          <w:sz w:val="24"/>
          <w:szCs w:val="24"/>
        </w:rPr>
      </w:pPr>
      <w:r>
        <w:rPr>
          <w:rFonts w:hint="eastAsia" w:ascii="宋体" w:hAnsi="宋体" w:eastAsia="宋体"/>
          <w:b w:val="0"/>
          <w:kern w:val="0"/>
          <w:sz w:val="24"/>
          <w:szCs w:val="24"/>
        </w:rPr>
        <w:t>8.5 氧气阀门选用</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8.5.1 氧气管道的阀门应选用专用氧气阀门，并应符合下列要求：</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a)工作压力大于0.1MPa的阀门，严禁采用闸阀；</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b)公称压力大于或等于1.0MPa且公称直径大于或等于150mm口径的手动氧气阀门，宜选用带旁通的阀门；</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c)阀门的材料应符合表12的要求。</w:t>
      </w:r>
    </w:p>
    <w:p>
      <w:pPr>
        <w:widowControl/>
        <w:adjustRightInd w:val="0"/>
        <w:snapToGrid w:val="0"/>
        <w:spacing w:line="360" w:lineRule="auto"/>
        <w:ind w:firstLine="480" w:firstLineChars="200"/>
        <w:rPr>
          <w:rFonts w:hint="eastAsia" w:ascii="宋体" w:hAnsi="宋体" w:cs="宋体"/>
          <w:kern w:val="0"/>
          <w:sz w:val="24"/>
        </w:rPr>
      </w:pPr>
      <w:r>
        <w:rPr>
          <w:rFonts w:hint="eastAsia" w:ascii="宋体" w:hAnsi="宋体" w:cs="宋体"/>
          <w:kern w:val="0"/>
          <w:sz w:val="24"/>
        </w:rPr>
        <w:t>表12                           阀门材料选用要求</w:t>
      </w:r>
    </w:p>
    <w:tbl>
      <w:tblPr>
        <w:tblStyle w:val="5"/>
        <w:tblW w:w="4974" w:type="pct"/>
        <w:tblCellSpacing w:w="0" w:type="dxa"/>
        <w:tblInd w:w="0" w:type="dxa"/>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Layout w:type="autofit"/>
        <w:tblCellMar>
          <w:top w:w="15" w:type="dxa"/>
          <w:left w:w="15" w:type="dxa"/>
          <w:bottom w:w="15" w:type="dxa"/>
          <w:right w:w="15" w:type="dxa"/>
        </w:tblCellMar>
      </w:tblPr>
      <w:tblGrid>
        <w:gridCol w:w="1556"/>
        <w:gridCol w:w="7069"/>
      </w:tblGrid>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15" w:type="dxa"/>
            <w:left w:w="15" w:type="dxa"/>
            <w:bottom w:w="15" w:type="dxa"/>
            <w:right w:w="15" w:type="dxa"/>
          </w:tblCellMar>
        </w:tblPrEx>
        <w:trPr>
          <w:tblCellSpacing w:w="0" w:type="dxa"/>
        </w:trPr>
        <w:tc>
          <w:tcPr>
            <w:tcW w:w="902" w:type="pct"/>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工作压力p/MPa</w:t>
            </w:r>
          </w:p>
        </w:tc>
        <w:tc>
          <w:tcPr>
            <w:tcW w:w="4098" w:type="pct"/>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材　　料</w:t>
            </w: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15" w:type="dxa"/>
            <w:left w:w="15" w:type="dxa"/>
            <w:bottom w:w="15" w:type="dxa"/>
            <w:right w:w="15" w:type="dxa"/>
          </w:tblCellMar>
        </w:tblPrEx>
        <w:trPr>
          <w:tblCellSpacing w:w="0" w:type="dxa"/>
        </w:trPr>
        <w:tc>
          <w:tcPr>
            <w:tcW w:w="902" w:type="pct"/>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p≤0.6</w:t>
            </w:r>
          </w:p>
        </w:tc>
        <w:tc>
          <w:tcPr>
            <w:tcW w:w="4098" w:type="pct"/>
          </w:tcPr>
          <w:p>
            <w:pPr>
              <w:widowControl/>
              <w:adjustRightInd w:val="0"/>
              <w:snapToGrid w:val="0"/>
              <w:spacing w:line="360" w:lineRule="auto"/>
              <w:jc w:val="left"/>
              <w:rPr>
                <w:rFonts w:ascii="宋体" w:hAnsi="宋体" w:cs="宋体"/>
                <w:kern w:val="0"/>
                <w:szCs w:val="21"/>
              </w:rPr>
            </w:pPr>
            <w:r>
              <w:rPr>
                <w:rFonts w:hint="eastAsia" w:ascii="宋体" w:hAnsi="宋体" w:cs="宋体"/>
                <w:kern w:val="0"/>
                <w:szCs w:val="21"/>
              </w:rPr>
              <w:t>阀体、阀盖采用可锻铸铁、球墨铸铁或铸钢，阀杆采用不锈钢，阀瓣采用不锈钢</w:t>
            </w: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15" w:type="dxa"/>
            <w:left w:w="15" w:type="dxa"/>
            <w:bottom w:w="15" w:type="dxa"/>
            <w:right w:w="15" w:type="dxa"/>
          </w:tblCellMar>
        </w:tblPrEx>
        <w:trPr>
          <w:tblCellSpacing w:w="0" w:type="dxa"/>
        </w:trPr>
        <w:tc>
          <w:tcPr>
            <w:tcW w:w="902" w:type="pct"/>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0.6&lt;p≤10</w:t>
            </w:r>
          </w:p>
        </w:tc>
        <w:tc>
          <w:tcPr>
            <w:tcW w:w="4098" w:type="pct"/>
          </w:tcPr>
          <w:p>
            <w:pPr>
              <w:widowControl/>
              <w:adjustRightInd w:val="0"/>
              <w:snapToGrid w:val="0"/>
              <w:spacing w:line="360" w:lineRule="auto"/>
              <w:jc w:val="left"/>
              <w:rPr>
                <w:rFonts w:ascii="宋体" w:hAnsi="宋体" w:cs="宋体"/>
                <w:kern w:val="0"/>
                <w:szCs w:val="21"/>
              </w:rPr>
            </w:pPr>
            <w:r>
              <w:rPr>
                <w:rFonts w:hint="eastAsia" w:ascii="宋体" w:hAnsi="宋体" w:cs="宋体"/>
                <w:kern w:val="0"/>
                <w:szCs w:val="21"/>
              </w:rPr>
              <w:t>采用不锈钢、铜合金或不锈钢与铜基合金组合（优先选用铜合金）、镍及镍基合金</w:t>
            </w: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15" w:type="dxa"/>
            <w:left w:w="15" w:type="dxa"/>
            <w:bottom w:w="15" w:type="dxa"/>
            <w:right w:w="15" w:type="dxa"/>
          </w:tblCellMar>
        </w:tblPrEx>
        <w:trPr>
          <w:tblCellSpacing w:w="0" w:type="dxa"/>
        </w:trPr>
        <w:tc>
          <w:tcPr>
            <w:tcW w:w="902" w:type="pct"/>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p＞10</w:t>
            </w:r>
          </w:p>
        </w:tc>
        <w:tc>
          <w:tcPr>
            <w:tcW w:w="4098" w:type="pct"/>
          </w:tcPr>
          <w:p>
            <w:pPr>
              <w:widowControl/>
              <w:adjustRightInd w:val="0"/>
              <w:snapToGrid w:val="0"/>
              <w:spacing w:line="360" w:lineRule="auto"/>
              <w:jc w:val="left"/>
              <w:rPr>
                <w:rFonts w:ascii="宋体" w:hAnsi="宋体" w:cs="宋体"/>
                <w:kern w:val="0"/>
                <w:szCs w:val="21"/>
              </w:rPr>
            </w:pPr>
            <w:r>
              <w:rPr>
                <w:rFonts w:hint="eastAsia" w:ascii="宋体" w:hAnsi="宋体" w:cs="宋体"/>
                <w:kern w:val="0"/>
                <w:szCs w:val="21"/>
              </w:rPr>
              <w:t>采用铜合金、镍及镍基合金</w:t>
            </w: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15" w:type="dxa"/>
            <w:left w:w="15" w:type="dxa"/>
            <w:bottom w:w="15" w:type="dxa"/>
            <w:right w:w="15" w:type="dxa"/>
          </w:tblCellMar>
        </w:tblPrEx>
        <w:trPr>
          <w:tblCellSpacing w:w="0" w:type="dxa"/>
        </w:trPr>
        <w:tc>
          <w:tcPr>
            <w:tcW w:w="5000" w:type="pct"/>
            <w:gridSpan w:val="2"/>
          </w:tcPr>
          <w:p>
            <w:pPr>
              <w:widowControl/>
              <w:adjustRightInd w:val="0"/>
              <w:snapToGrid w:val="0"/>
              <w:spacing w:line="360" w:lineRule="auto"/>
              <w:jc w:val="left"/>
              <w:rPr>
                <w:rFonts w:ascii="宋体" w:hAnsi="宋体" w:cs="宋体"/>
                <w:kern w:val="0"/>
                <w:szCs w:val="21"/>
              </w:rPr>
            </w:pPr>
            <w:r>
              <w:rPr>
                <w:rFonts w:hint="eastAsia" w:ascii="宋体" w:hAnsi="宋体" w:cs="宋体"/>
                <w:kern w:val="0"/>
                <w:szCs w:val="21"/>
              </w:rPr>
              <w:t>注1 工作压力为0.1MPa以上的压力或流量调节阀的材料，应采用不锈钢或铜合金或以上两种的组合。2 阀门的密封填料，应采用四氟乙烯或柔性石墨材料。</w:t>
            </w:r>
          </w:p>
        </w:tc>
      </w:tr>
    </w:tbl>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8.5.2 经常操作的公称压力大于或等于1.0MPa且公称直径大于或等于150mm口径的氧气阀门，宜采用气动遥控阀门。</w:t>
      </w:r>
    </w:p>
    <w:p>
      <w:pPr>
        <w:pStyle w:val="3"/>
        <w:adjustRightInd w:val="0"/>
        <w:snapToGrid w:val="0"/>
        <w:spacing w:before="0" w:after="0" w:line="360" w:lineRule="auto"/>
        <w:ind w:firstLine="480" w:firstLineChars="200"/>
        <w:rPr>
          <w:rFonts w:ascii="宋体" w:hAnsi="宋体" w:eastAsia="宋体"/>
          <w:b w:val="0"/>
          <w:kern w:val="0"/>
          <w:sz w:val="24"/>
          <w:szCs w:val="24"/>
        </w:rPr>
      </w:pPr>
      <w:r>
        <w:rPr>
          <w:rFonts w:hint="eastAsia" w:ascii="宋体" w:hAnsi="宋体" w:eastAsia="宋体"/>
          <w:b w:val="0"/>
          <w:kern w:val="0"/>
          <w:sz w:val="24"/>
          <w:szCs w:val="24"/>
        </w:rPr>
        <w:t>8.6 氧气管道的施工、验收</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8.6.1 氧气管道、阀门及管件等在安装前除应符合GB 50235的要求进行检验外（氧气按可燃流体类别对待），其清洁度还应达到以下要求：</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a)碳钢氧气管道、管件等应严格除锈，除锈可用喷砂、酸洗等方法。接触氧气的表面应彻底除去毛刺、焊瘤、粘砂、铁锈和其他可燃物，保持内壁光滑清洁，管道的除锈时，以出现本色为止；</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b)氧气管道、阀门等与氧气接触的一切部件，安装前、检修后应进行严格的除锈、脱脂；</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c)氧气管道、阀门等与氧气接触的一切部件脱脂应按HG 20202进行（包括所有组成件与流体接触的表面），如工程设计文件令有不同要求时，则应按工程设计文件的规定执行。脱脂可用无机非可燃清洗剂、二氯乙烷、三氯乙烯等溶剂，并应用紫外线检查法、樟脑检查法或溶剂分析法进行检查，直到合格为止。</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脱脂后的碳钢氧气管道应立即进行钝化或充入干燥氮气封闭管口。进行水压试验的管道，则脱脂后管内壁应进行钝化。脱脂后的管道组成件应采用氮气或空气吹净封闭，防止再污染，并应避免残存的脱脂介质与氧气形成危险的混合物。</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在安装过程中及安装后应采取有效措施，防止受到油脂污染，防止可燃物、锈屑、焊渣、砂土及其他杂物进入或遗留在管内，并应进行严格的检查。</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8.6.2 管道的安装、焊接和施工、验收除符合GB 50235、GB 50236的要求外，还应满足下列要求：</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a)焊接碳素钢和不锈钢氧气管道时，应采用氩弧焊打底；</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b)管道的切割和坡口加工，应采用机械方法；</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c)管道预制长度不宜过长，应能便于检查管道内外表面的安装、焊接、清洁度质量；</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d)管道的焊缝检查应采用射线检查，当采用水压试验时，检测的数据和标准应按表13要求执行。</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表13                         氧气管道焊缝检测要求</w:t>
      </w:r>
    </w:p>
    <w:tbl>
      <w:tblPr>
        <w:tblStyle w:val="5"/>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959"/>
        <w:gridCol w:w="2946"/>
        <w:gridCol w:w="295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133" w:type="dxa"/>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设计压力p/MPa</w:t>
            </w:r>
          </w:p>
        </w:tc>
        <w:tc>
          <w:tcPr>
            <w:tcW w:w="3133" w:type="dxa"/>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射线照相比例</w:t>
            </w:r>
          </w:p>
        </w:tc>
        <w:tc>
          <w:tcPr>
            <w:tcW w:w="3134" w:type="dxa"/>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焊缝质量评定GB/T 3323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133" w:type="dxa"/>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p&gt;4.0</w:t>
            </w:r>
          </w:p>
        </w:tc>
        <w:tc>
          <w:tcPr>
            <w:tcW w:w="3133" w:type="dxa"/>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100%</w:t>
            </w:r>
          </w:p>
        </w:tc>
        <w:tc>
          <w:tcPr>
            <w:tcW w:w="3134" w:type="dxa"/>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Ⅱ级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133" w:type="dxa"/>
            <w:vAlign w:val="center"/>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1.0&lt;p≤4.0</w:t>
            </w:r>
          </w:p>
        </w:tc>
        <w:tc>
          <w:tcPr>
            <w:tcW w:w="3133" w:type="dxa"/>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40%（固定焊口）</w:t>
            </w:r>
          </w:p>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15%（转动焊口）</w:t>
            </w:r>
          </w:p>
        </w:tc>
        <w:tc>
          <w:tcPr>
            <w:tcW w:w="3134" w:type="dxa"/>
            <w:vAlign w:val="center"/>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Ⅱ级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133" w:type="dxa"/>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p≤1.0</w:t>
            </w:r>
          </w:p>
        </w:tc>
        <w:tc>
          <w:tcPr>
            <w:tcW w:w="3133" w:type="dxa"/>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10%</w:t>
            </w:r>
          </w:p>
        </w:tc>
        <w:tc>
          <w:tcPr>
            <w:tcW w:w="3134" w:type="dxa"/>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Ⅲ级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133" w:type="dxa"/>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低温液体管道</w:t>
            </w:r>
          </w:p>
        </w:tc>
        <w:tc>
          <w:tcPr>
            <w:tcW w:w="3133" w:type="dxa"/>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100%</w:t>
            </w:r>
          </w:p>
        </w:tc>
        <w:tc>
          <w:tcPr>
            <w:tcW w:w="3134" w:type="dxa"/>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Ⅱ级</w:t>
            </w:r>
          </w:p>
        </w:tc>
      </w:tr>
    </w:tbl>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当采用气体做压力试验时，焊缝的射线检测要求如下：</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设计压力不大于0.6MPa时，检测比例不小于15%，焊缝质量等级不低于Ⅲ级；设计压力大于0.6MPa且小于或等于4.0MPa时，检测比例为100%，焊缝质量等级不低于Ⅱ级。</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e)对未要求做无损检测的焊缝，质检人员应对全部焊缝的可见部分进行外观检查，其质量应符合GB 50236.</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8.6.3 氧气管道安装后应进行压力及泄漏性试验，试验要求应符合以下规定：</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a)氧气管道的压力试验介质应用不含油的干净水或干燥空气、氮气进行。</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严禁使用氧气做试验介质，当使用氮气做试验介质时，应注意安全，防止发生窒息事故。</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设计压力大于4.0MPa时，氧气管道禁止用气体做压力试验。</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氧气管道水压试验后，应及时进行干燥处理。</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奥氏体不锈钢管道水压试验时水质中的氯离子含量不应超过25g/m</w:t>
      </w:r>
      <w:r>
        <w:rPr>
          <w:rFonts w:hint="eastAsia" w:ascii="宋体" w:hAnsi="宋体" w:cs="宋体"/>
          <w:kern w:val="0"/>
          <w:sz w:val="24"/>
          <w:vertAlign w:val="superscript"/>
        </w:rPr>
        <w:t>3</w:t>
      </w:r>
      <w:r>
        <w:rPr>
          <w:rFonts w:hint="eastAsia" w:ascii="宋体" w:hAnsi="宋体" w:cs="宋体"/>
          <w:kern w:val="0"/>
          <w:sz w:val="24"/>
        </w:rPr>
        <w:t>,否则应采取措施。</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b)管道试验压力以设计压力作计算基准。</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c)管道做压力试验时，水压试验压力等于1.5倍设计压力，埋地管道且不得低于0.4MPa；气压试验压力等于1.15倍设计压力，且不小于0.1MPa。</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试验的方法和要求应符合GB 50235的规定。</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d)氧气管道强度试验合格后应进行泄漏性试验，试验用介质应是无油、干燥、洁净的空气或氮气。试验压力等于管道设计压力。</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泄漏性试验方法和要求除按GB 50235的规定进行外，还应进行泄漏率计算。</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管道内气体压力达到设计压力后保持24h，平均小时泄漏率A对室内及地沟管道应不超过0.25%；对室外管道应以不超过0.5%为合格。</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泄漏率</w:t>
      </w:r>
      <w:r>
        <w:rPr>
          <w:rFonts w:hint="eastAsia" w:ascii="宋体" w:hAnsi="宋体" w:cs="宋体"/>
          <w:i/>
          <w:iCs/>
          <w:kern w:val="0"/>
          <w:sz w:val="24"/>
        </w:rPr>
        <w:t>A</w:t>
      </w:r>
      <w:r>
        <w:rPr>
          <w:rFonts w:hint="eastAsia" w:ascii="宋体" w:hAnsi="宋体" w:cs="宋体"/>
          <w:kern w:val="0"/>
          <w:sz w:val="24"/>
        </w:rPr>
        <w:t>按式（1）和（2）计算：</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当管道公称直径</w:t>
      </w:r>
      <w:r>
        <w:rPr>
          <w:rFonts w:hint="eastAsia" w:ascii="宋体" w:hAnsi="宋体" w:cs="宋体"/>
          <w:iCs/>
          <w:kern w:val="0"/>
          <w:sz w:val="24"/>
        </w:rPr>
        <w:t>DN</w:t>
      </w:r>
      <w:r>
        <w:rPr>
          <w:rFonts w:hint="eastAsia" w:ascii="宋体" w:hAnsi="宋体" w:cs="宋体"/>
          <w:kern w:val="0"/>
          <w:sz w:val="24"/>
        </w:rPr>
        <w:t>≤0.3m时：</w:t>
      </w:r>
      <w:r>
        <w:rPr>
          <w:rFonts w:ascii="宋体" w:hAnsi="宋体"/>
          <w:sz w:val="24"/>
        </w:rPr>
        <w:fldChar w:fldCharType="begin"/>
      </w:r>
      <w:r>
        <w:rPr>
          <w:rFonts w:ascii="宋体" w:hAnsi="宋体"/>
          <w:sz w:val="24"/>
        </w:rPr>
        <w:instrText xml:space="preserve"> SKIPIF 1 &lt; 0      </w:instrText>
      </w:r>
      <w:r>
        <w:rPr>
          <w:rFonts w:hint="eastAsia" w:ascii="宋体" w:hAnsi="宋体"/>
          <w:kern w:val="0"/>
          <w:sz w:val="24"/>
        </w:rPr>
        <w:fldChar w:fldCharType="separate"/>
      </w:r>
      <w:r>
        <w:rPr>
          <w:rFonts w:ascii="宋体" w:hAnsi="宋体"/>
          <w:position w:val="-32"/>
          <w:sz w:val="24"/>
        </w:rPr>
        <w:drawing>
          <wp:inline distT="0" distB="0" distL="114300" distR="114300">
            <wp:extent cx="1955800" cy="482600"/>
            <wp:effectExtent l="0" t="0" r="6350" b="133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1955800" cy="482600"/>
                    </a:xfrm>
                    <a:prstGeom prst="rect">
                      <a:avLst/>
                    </a:prstGeom>
                    <a:noFill/>
                    <a:ln>
                      <a:noFill/>
                    </a:ln>
                  </pic:spPr>
                </pic:pic>
              </a:graphicData>
            </a:graphic>
          </wp:inline>
        </w:drawing>
      </w:r>
      <w:r>
        <w:rPr>
          <w:rFonts w:ascii="宋体" w:hAnsi="宋体"/>
          <w:sz w:val="24"/>
        </w:rPr>
        <w:fldChar w:fldCharType="end"/>
      </w:r>
      <w:r>
        <w:rPr>
          <w:rFonts w:hint="eastAsia" w:ascii="宋体" w:hAnsi="宋体"/>
          <w:sz w:val="24"/>
        </w:rPr>
        <w:t xml:space="preserve">             </w:t>
      </w:r>
      <w:r>
        <w:rPr>
          <w:rFonts w:hint="eastAsia" w:ascii="宋体" w:hAnsi="宋体" w:cs="宋体"/>
          <w:kern w:val="0"/>
          <w:sz w:val="24"/>
        </w:rPr>
        <w:t>（1）</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当管道公称直径</w:t>
      </w:r>
      <w:r>
        <w:rPr>
          <w:rFonts w:hint="eastAsia" w:ascii="宋体" w:hAnsi="宋体" w:cs="宋体"/>
          <w:iCs/>
          <w:kern w:val="0"/>
          <w:sz w:val="24"/>
        </w:rPr>
        <w:t>DN</w:t>
      </w:r>
      <w:r>
        <w:rPr>
          <w:rFonts w:hint="eastAsia" w:ascii="宋体" w:hAnsi="宋体" w:cs="宋体"/>
          <w:kern w:val="0"/>
          <w:sz w:val="24"/>
        </w:rPr>
        <w:t>＞0.3m时：</w:t>
      </w:r>
      <w:r>
        <w:rPr>
          <w:rFonts w:ascii="宋体" w:hAnsi="宋体"/>
          <w:sz w:val="24"/>
        </w:rPr>
        <w:fldChar w:fldCharType="begin"/>
      </w:r>
      <w:r>
        <w:rPr>
          <w:rFonts w:ascii="宋体" w:hAnsi="宋体"/>
          <w:sz w:val="24"/>
        </w:rPr>
        <w:instrText xml:space="preserve"> SKIPIF 1 &lt; 0      </w:instrText>
      </w:r>
      <w:r>
        <w:rPr>
          <w:rFonts w:hint="eastAsia" w:ascii="宋体" w:hAnsi="宋体"/>
          <w:kern w:val="0"/>
          <w:sz w:val="24"/>
        </w:rPr>
        <w:fldChar w:fldCharType="separate"/>
      </w:r>
      <w:r>
        <w:rPr>
          <w:rFonts w:ascii="宋体" w:hAnsi="宋体"/>
          <w:position w:val="-32"/>
          <w:sz w:val="24"/>
        </w:rPr>
        <w:drawing>
          <wp:inline distT="0" distB="0" distL="114300" distR="114300">
            <wp:extent cx="2349500" cy="482600"/>
            <wp:effectExtent l="0" t="0" r="12700" b="133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2349500" cy="482600"/>
                    </a:xfrm>
                    <a:prstGeom prst="rect">
                      <a:avLst/>
                    </a:prstGeom>
                    <a:noFill/>
                    <a:ln>
                      <a:noFill/>
                    </a:ln>
                  </pic:spPr>
                </pic:pic>
              </a:graphicData>
            </a:graphic>
          </wp:inline>
        </w:drawing>
      </w:r>
      <w:r>
        <w:rPr>
          <w:rFonts w:ascii="宋体" w:hAnsi="宋体"/>
          <w:sz w:val="24"/>
        </w:rPr>
        <w:fldChar w:fldCharType="end"/>
      </w:r>
      <w:r>
        <w:rPr>
          <w:rFonts w:hint="eastAsia" w:ascii="宋体" w:hAnsi="宋体"/>
          <w:sz w:val="24"/>
        </w:rPr>
        <w:t xml:space="preserve">        </w:t>
      </w:r>
      <w:r>
        <w:rPr>
          <w:rFonts w:hint="eastAsia" w:ascii="宋体" w:hAnsi="宋体" w:cs="宋体"/>
          <w:kern w:val="0"/>
          <w:sz w:val="24"/>
        </w:rPr>
        <w:t>（2）</w:t>
      </w:r>
    </w:p>
    <w:p>
      <w:pPr>
        <w:widowControl/>
        <w:adjustRightInd w:val="0"/>
        <w:snapToGrid w:val="0"/>
        <w:spacing w:line="360" w:lineRule="auto"/>
        <w:ind w:firstLine="480" w:firstLineChars="200"/>
        <w:jc w:val="left"/>
        <w:rPr>
          <w:rFonts w:hint="eastAsia" w:ascii="宋体" w:hAnsi="宋体" w:cs="宋体"/>
          <w:kern w:val="0"/>
          <w:sz w:val="24"/>
        </w:rPr>
      </w:pPr>
      <w:r>
        <w:rPr>
          <w:rFonts w:ascii="宋体" w:hAnsi="宋体" w:cs="宋体"/>
          <w:kern w:val="0"/>
          <w:sz w:val="24"/>
        </w:rPr>
        <w:t>式中：</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P</w:t>
      </w:r>
      <w:r>
        <w:rPr>
          <w:rFonts w:hint="eastAsia" w:ascii="宋体" w:hAnsi="宋体" w:cs="宋体"/>
          <w:kern w:val="0"/>
          <w:sz w:val="24"/>
          <w:vertAlign w:val="subscript"/>
        </w:rPr>
        <w:t>1</w:t>
      </w:r>
      <w:r>
        <w:rPr>
          <w:rFonts w:hint="eastAsia" w:ascii="宋体" w:hAnsi="宋体" w:cs="宋体"/>
          <w:kern w:val="0"/>
          <w:sz w:val="24"/>
        </w:rPr>
        <w:t>-</w:t>
      </w:r>
      <w:r>
        <w:rPr>
          <w:rFonts w:ascii="宋体" w:hAnsi="宋体" w:cs="宋体"/>
          <w:kern w:val="0"/>
          <w:sz w:val="24"/>
        </w:rPr>
        <w:t>试验开始时的绝对压力，</w:t>
      </w:r>
      <w:r>
        <w:rPr>
          <w:rFonts w:hint="eastAsia" w:ascii="宋体" w:hAnsi="宋体" w:cs="宋体"/>
          <w:kern w:val="0"/>
          <w:sz w:val="24"/>
        </w:rPr>
        <w:t>单位为兆帕（</w:t>
      </w:r>
      <w:r>
        <w:rPr>
          <w:rFonts w:ascii="宋体" w:hAnsi="宋体" w:cs="宋体"/>
          <w:kern w:val="0"/>
          <w:sz w:val="24"/>
        </w:rPr>
        <w:t>MPa</w:t>
      </w:r>
      <w:r>
        <w:rPr>
          <w:rFonts w:hint="eastAsia" w:ascii="宋体" w:hAnsi="宋体" w:cs="宋体"/>
          <w:kern w:val="0"/>
          <w:sz w:val="24"/>
        </w:rPr>
        <w:t>）</w:t>
      </w:r>
      <w:r>
        <w:rPr>
          <w:rFonts w:ascii="宋体" w:hAnsi="宋体" w:cs="宋体"/>
          <w:kern w:val="0"/>
          <w:sz w:val="24"/>
        </w:rPr>
        <w:t>；</w:t>
      </w:r>
    </w:p>
    <w:p>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P</w:t>
      </w:r>
      <w:r>
        <w:rPr>
          <w:rFonts w:hint="eastAsia" w:ascii="宋体" w:hAnsi="宋体" w:cs="宋体"/>
          <w:kern w:val="0"/>
          <w:sz w:val="24"/>
          <w:vertAlign w:val="subscript"/>
        </w:rPr>
        <w:t>2</w:t>
      </w:r>
      <w:r>
        <w:rPr>
          <w:rFonts w:hint="eastAsia" w:ascii="宋体" w:hAnsi="宋体" w:cs="宋体"/>
          <w:kern w:val="0"/>
          <w:sz w:val="24"/>
        </w:rPr>
        <w:t>-试验终了时的绝对压力，单位为兆帕（</w:t>
      </w:r>
      <w:r>
        <w:rPr>
          <w:rFonts w:ascii="宋体" w:hAnsi="宋体" w:cs="宋体"/>
          <w:kern w:val="0"/>
          <w:sz w:val="24"/>
        </w:rPr>
        <w:t>MPa</w:t>
      </w:r>
      <w:r>
        <w:rPr>
          <w:rFonts w:hint="eastAsia" w:ascii="宋体" w:hAnsi="宋体" w:cs="宋体"/>
          <w:kern w:val="0"/>
          <w:sz w:val="24"/>
        </w:rPr>
        <w:t>）；</w:t>
      </w:r>
    </w:p>
    <w:p>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t</w:t>
      </w:r>
      <w:r>
        <w:rPr>
          <w:rFonts w:hint="eastAsia" w:ascii="宋体" w:hAnsi="宋体" w:cs="宋体"/>
          <w:kern w:val="0"/>
          <w:sz w:val="24"/>
          <w:vertAlign w:val="subscript"/>
        </w:rPr>
        <w:t>1</w:t>
      </w:r>
      <w:r>
        <w:rPr>
          <w:rFonts w:hint="eastAsia" w:ascii="宋体" w:hAnsi="宋体" w:cs="宋体"/>
          <w:kern w:val="0"/>
          <w:sz w:val="24"/>
        </w:rPr>
        <w:t>-试验开始时的温度，单位为摄氏度（℃）；</w:t>
      </w:r>
    </w:p>
    <w:p>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t</w:t>
      </w:r>
      <w:r>
        <w:rPr>
          <w:rFonts w:hint="eastAsia" w:ascii="宋体" w:hAnsi="宋体" w:cs="宋体"/>
          <w:kern w:val="0"/>
          <w:sz w:val="24"/>
          <w:vertAlign w:val="subscript"/>
        </w:rPr>
        <w:t>2</w:t>
      </w:r>
      <w:r>
        <w:rPr>
          <w:rFonts w:hint="eastAsia" w:ascii="宋体" w:hAnsi="宋体" w:cs="宋体"/>
          <w:kern w:val="0"/>
          <w:sz w:val="24"/>
        </w:rPr>
        <w:t>-试验终了时的温度，单位为摄氏度（℃）；</w:t>
      </w:r>
    </w:p>
    <w:p>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iCs/>
          <w:kern w:val="0"/>
          <w:sz w:val="24"/>
        </w:rPr>
        <w:t>DN</w:t>
      </w:r>
      <w:r>
        <w:rPr>
          <w:rFonts w:hint="eastAsia" w:ascii="宋体" w:hAnsi="宋体" w:cs="宋体"/>
          <w:kern w:val="0"/>
          <w:sz w:val="24"/>
        </w:rPr>
        <w:t>-管道公称直径，单位为米（m）。</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8.6.4 氧气管道在安装、检修后或长期停用后再投入使用前，应将管内残留的水分、铁屑、杂物等用无油干燥空气或氮气吹扫干净，直至无铁锈、尘埃及其他杂物为止。吹扫速度应不小于20m/s，且不低于氧气管道设计流速。严禁用氧气吹扫管道。</w:t>
      </w:r>
    </w:p>
    <w:p>
      <w:pPr>
        <w:pStyle w:val="3"/>
        <w:adjustRightInd w:val="0"/>
        <w:snapToGrid w:val="0"/>
        <w:spacing w:before="0" w:after="0" w:line="360" w:lineRule="auto"/>
        <w:ind w:firstLine="480" w:firstLineChars="200"/>
        <w:rPr>
          <w:rFonts w:hint="eastAsia" w:ascii="宋体" w:hAnsi="宋体" w:eastAsia="宋体"/>
          <w:b w:val="0"/>
          <w:kern w:val="0"/>
          <w:sz w:val="24"/>
          <w:szCs w:val="24"/>
        </w:rPr>
      </w:pPr>
      <w:r>
        <w:rPr>
          <w:rFonts w:hint="eastAsia" w:ascii="宋体" w:hAnsi="宋体" w:eastAsia="宋体"/>
          <w:b w:val="0"/>
          <w:kern w:val="0"/>
          <w:sz w:val="24"/>
          <w:szCs w:val="24"/>
        </w:rPr>
        <w:t>8.7 操作及维护管理</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8.7.1 手动氧气阀门应缓慢开启，操作时人员应站在阀的侧面。采用带旁通阀的阀门时，应先开启旁通阀，使下游侧先充压，当主阀两侧压差小于等于0.3MPa时再开主阀。</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8.7.2 禁止非调节阀门作调节使用。</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8.7.3 应建立氧气管道档案，由熟悉管道流程的氧气专业人员进行管理。氧气管道作业人员应持证上岗。</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8.7.4 对氧气管道进行动火作业前，应制定动火方案。其内容应包括负责人、作业流程图、操作方案、安全措施、人员分工、监护人、化验人等，并经有关部门确认后方可进行。</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8.7.5 氧气管道或阀门着火时，应立即切断上游侧气源。</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8.7.6 碳钢氧气干管宜每五年进行一次吹扫，每五年进行一次管壁测厚，主要测定弯头及调节阀后的管道。</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8.7.7 施工、维修后的氧气管系，其中如有过滤器，则在送氧前，应确认氧气过滤器内清洁无杂物。氧气过滤器应定期清洗。</w:t>
      </w:r>
    </w:p>
    <w:p>
      <w:pPr>
        <w:pStyle w:val="2"/>
        <w:adjustRightInd w:val="0"/>
        <w:snapToGrid w:val="0"/>
        <w:spacing w:before="0" w:after="0" w:line="360" w:lineRule="auto"/>
        <w:ind w:firstLine="480" w:firstLineChars="200"/>
        <w:rPr>
          <w:rFonts w:hint="eastAsia" w:ascii="宋体" w:hAnsi="宋体"/>
          <w:b w:val="0"/>
          <w:kern w:val="0"/>
          <w:sz w:val="24"/>
          <w:szCs w:val="24"/>
        </w:rPr>
      </w:pPr>
      <w:r>
        <w:rPr>
          <w:rFonts w:hint="eastAsia" w:ascii="宋体" w:hAnsi="宋体"/>
          <w:b w:val="0"/>
          <w:kern w:val="0"/>
          <w:sz w:val="24"/>
          <w:szCs w:val="24"/>
        </w:rPr>
        <w:t>9 检修维修</w:t>
      </w:r>
    </w:p>
    <w:p>
      <w:pPr>
        <w:pStyle w:val="3"/>
        <w:adjustRightInd w:val="0"/>
        <w:snapToGrid w:val="0"/>
        <w:spacing w:before="0" w:after="0" w:line="360" w:lineRule="auto"/>
        <w:ind w:firstLine="480" w:firstLineChars="200"/>
        <w:rPr>
          <w:rFonts w:ascii="宋体" w:hAnsi="宋体" w:eastAsia="宋体"/>
          <w:b w:val="0"/>
          <w:kern w:val="0"/>
          <w:sz w:val="24"/>
          <w:szCs w:val="24"/>
        </w:rPr>
      </w:pPr>
      <w:r>
        <w:rPr>
          <w:rFonts w:hint="eastAsia" w:ascii="宋体" w:hAnsi="宋体" w:eastAsia="宋体"/>
          <w:b w:val="0"/>
          <w:kern w:val="0"/>
          <w:sz w:val="24"/>
          <w:szCs w:val="24"/>
        </w:rPr>
        <w:t>9.1 一般要求</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9.1.1 检修设备时，必须执行本章及其他章中的有关规定。</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9.1.2 严格执行动火制度。在设备、管道动火时，氧气含量必须控制在23%以下；在生产区域或容器内动火时，应控制氧气含量在19.5-23%。氢含量不准超过0.4%。</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在空分装置周围动火时，不准排放液氧、液空。暂停动火后，再次动火前，需重新取样分析氧、氢含量。如动火作业连续超过4h后，应重新取样分析氧、氢含量，不应超过标准。氧氢容器、管道动火时除满足以上条件外，应进行可靠切断。氧氢生产区域动火时应连续监控氧、氢含量在上述规定范围内。</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9.1.3 所有运转设备检修前，应将电源开关断开，挂上“正在检修”的警示牌。非工作人员严禁取牌合闸。合闸前应检查，确认无人作业后，方可合闸。</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9.1.4 安全阀检修时，应按设计要求或有关规定进行校验，不准随意更改起跳压力。</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9.1.5进入冷箱内或容器内检修时，应使用12V的安全照明灯具，电缆、焊把线、接地线应确保绝缘完好。</w:t>
      </w:r>
    </w:p>
    <w:p>
      <w:pPr>
        <w:pStyle w:val="3"/>
        <w:adjustRightInd w:val="0"/>
        <w:snapToGrid w:val="0"/>
        <w:spacing w:before="0" w:after="0" w:line="360" w:lineRule="auto"/>
        <w:ind w:firstLine="480" w:firstLineChars="200"/>
        <w:rPr>
          <w:rFonts w:hint="eastAsia" w:ascii="宋体" w:hAnsi="宋体" w:eastAsia="宋体"/>
          <w:b w:val="0"/>
          <w:kern w:val="0"/>
          <w:sz w:val="24"/>
          <w:szCs w:val="24"/>
        </w:rPr>
      </w:pPr>
      <w:r>
        <w:rPr>
          <w:rFonts w:hint="eastAsia" w:ascii="宋体" w:hAnsi="宋体" w:eastAsia="宋体"/>
          <w:b w:val="0"/>
          <w:kern w:val="0"/>
          <w:sz w:val="24"/>
          <w:szCs w:val="24"/>
        </w:rPr>
        <w:t>9.2 空分装置</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9.2.1 空分装置的低温部分设备检修，宜升到常温进行。必须在低温状态下进行抢修时，应有防止人员冻伤的措施。</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9.2.2 进入冷箱检修前，需先切断气源，用空气置换内部气体，扒出检修部位的保温材料，经分析冷箱内气体含氧量在19.5-23%范围内，人员方可入内。</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9.2.3 设备、阀门、管道和容器，严禁带压拆卸。</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9.2.4</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9.2.5 冷箱内搭脚手架宜采用非金属材料。脚手架应固定在冷箱骨架或大管径管道上。检修完毕后，应拆除冷箱内脚手架，并清除一切杂物。施工中应采取防滑、防跌措施。</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9.2.6 管道施焊时，严禁在其他管道上打火引弧，铝管同一处焊接不能超过两次，否则应重新配管施焊。严禁用工艺管道作为地线进行焊接。</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9.2.7 冷箱内高处作业时，人员应佩带安全带，所携带工、机具应固定或系牢，不准乱扔物品。</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9.2.8 在冷箱内进行查漏作业时，严禁攀登直径50mm以下的细管及仪表管线。</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9.2.9 空分装置用三氯乙烯等清洗剂清洗时，应采取防护措施。空分装置检修清洗后，投产前应进行系统全面大加热。</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空分装置试压前，应首先制定试压方案，试压应采用气压法，所用气体必须是无油、干燥、洁净的空气或氮气。严禁用氧气试压。用瓶装的高压气体做试压气源时，</w:t>
      </w:r>
    </w:p>
    <w:p>
      <w:pPr>
        <w:widowControl/>
        <w:adjustRightInd w:val="0"/>
        <w:snapToGrid w:val="0"/>
        <w:spacing w:line="360" w:lineRule="auto"/>
        <w:jc w:val="left"/>
        <w:rPr>
          <w:rFonts w:hint="eastAsia" w:ascii="宋体" w:hAnsi="宋体" w:cs="宋体"/>
          <w:kern w:val="0"/>
          <w:sz w:val="24"/>
        </w:rPr>
      </w:pPr>
      <w:r>
        <w:rPr>
          <w:rFonts w:hint="eastAsia" w:ascii="宋体" w:hAnsi="宋体" w:cs="宋体"/>
          <w:kern w:val="0"/>
          <w:sz w:val="24"/>
        </w:rPr>
        <w:t>必须减压。需要查漏时，试压气体宜用空气。当使用氮气试压查漏时，应严格监控冷箱内</w:t>
      </w:r>
    </w:p>
    <w:p>
      <w:pPr>
        <w:widowControl/>
        <w:adjustRightInd w:val="0"/>
        <w:snapToGrid w:val="0"/>
        <w:spacing w:line="360" w:lineRule="auto"/>
        <w:jc w:val="left"/>
        <w:rPr>
          <w:rFonts w:hint="eastAsia" w:ascii="宋体" w:hAnsi="宋体" w:cs="宋体"/>
          <w:kern w:val="0"/>
          <w:sz w:val="24"/>
        </w:rPr>
      </w:pPr>
      <w:r>
        <w:rPr>
          <w:rFonts w:hint="eastAsia" w:ascii="宋体" w:hAnsi="宋体" w:cs="宋体"/>
          <w:kern w:val="0"/>
          <w:sz w:val="24"/>
        </w:rPr>
        <w:t>氧气含量在规定范围内，严防氮气窒息。</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空分装置试压应有专人操作和监护。试压所用的压力表应在检验周期内，系统较大的装置试压时，应安装两块以上符合要求的相同精度与量程的压力表。</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空分装置试压时，应按不同压力分别进行，应缓慢升压，严禁超压。</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空分装置的查漏，应采用涂刷肥皂水的方法。铝管应采用中性肥皂水。</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扒珠光砂前，应缓慢并充分加热冷箱中珠光砂，加热时应打开冷箱顶人孔板，并严密监控冷箱内压力。当冷箱内漏有低温液体时，应制定专门的加温及扒砂方案。在加温过程中，确保冷箱不超压。扒砂过程中，当冷箱高度大于40m时，应分层扒砂，泄砂口应缓慢、谨慎、分步打开，以防止“砂爆”发生。</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当冷箱上部存有珠光砂时，严禁操作人员从底部进入冷箱。</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扒、装珠光砂时，应采取有效的劳动保护措施。充装口和各层平台人孔均应设置安全防护栅网，扒、装现场应留有人员安全撤离的通道。</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用氮气作气源进行浓相输送充装珠光砂作业时，应严防氮气窒息。</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 多台空分装置管道相连时，检修的空分装置应与其他空分装置可靠隔离。</w:t>
      </w:r>
    </w:p>
    <w:p>
      <w:pPr>
        <w:pStyle w:val="3"/>
        <w:adjustRightInd w:val="0"/>
        <w:snapToGrid w:val="0"/>
        <w:spacing w:before="0" w:after="0" w:line="360" w:lineRule="auto"/>
        <w:ind w:firstLine="480" w:firstLineChars="200"/>
        <w:rPr>
          <w:rFonts w:hint="eastAsia" w:ascii="宋体" w:hAnsi="宋体" w:eastAsia="宋体"/>
          <w:b w:val="0"/>
          <w:kern w:val="0"/>
          <w:sz w:val="24"/>
          <w:szCs w:val="24"/>
        </w:rPr>
      </w:pPr>
      <w:r>
        <w:rPr>
          <w:rFonts w:hint="eastAsia" w:ascii="宋体" w:hAnsi="宋体" w:eastAsia="宋体"/>
          <w:b w:val="0"/>
          <w:kern w:val="0"/>
          <w:sz w:val="24"/>
          <w:szCs w:val="24"/>
        </w:rPr>
        <w:t>9.3 空压机、氧压机、氮压机</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9.3.1 空压机、氧压机、氮压机在检修时应划出一定的检修范围，并设警示标志，与检修无关人员不准入内。</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9.3.2 压缩机检修时，严防异物进入或遗留在设备内。检修后彻底清理。</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9.3.3 压缩机检修，对运转部位、气封、油封应进行严格检查，氧压机油封不准有泄漏。保证各部间隙，达到要求，不准超出公差。</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9.3.4 在压缩机主机进行检修时，对配套的温度计、压力表、轴位移、振动表、防喘振等安全保护联锁装置，应同时进行检查或检修。</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9.3.5 压缩机检修时，应对润滑油系统进行严格的检修，检修后还应进行清扫和调试。</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9.3.6 气缸用油润滑的活塞式空压机，检修时必须将气缸内、吸排气阀及管道系统的积碳清理干净。</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9.3.7 氧压机与氧气接触部位检修时，工具、吊具、工作服等严禁沾染油脂。检修完毕后，与氧气接触部位应进行脱脂，用紫外线灯等方式检查确认合格后，方准安装或扣盖。</w:t>
      </w:r>
    </w:p>
    <w:p>
      <w:pPr>
        <w:pStyle w:val="3"/>
        <w:adjustRightInd w:val="0"/>
        <w:snapToGrid w:val="0"/>
        <w:spacing w:before="0" w:after="0" w:line="360" w:lineRule="auto"/>
        <w:ind w:firstLine="480" w:firstLineChars="200"/>
        <w:rPr>
          <w:rFonts w:hint="eastAsia" w:ascii="宋体" w:hAnsi="宋体" w:eastAsia="宋体"/>
          <w:b w:val="0"/>
          <w:kern w:val="0"/>
          <w:sz w:val="24"/>
          <w:szCs w:val="24"/>
        </w:rPr>
      </w:pPr>
      <w:r>
        <w:rPr>
          <w:rFonts w:hint="eastAsia" w:ascii="宋体" w:hAnsi="宋体" w:eastAsia="宋体"/>
          <w:b w:val="0"/>
          <w:kern w:val="0"/>
          <w:sz w:val="24"/>
          <w:szCs w:val="24"/>
        </w:rPr>
        <w:t>9.4 膨胀机</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9.4.1 透平膨胀机转子检修后，必须对转子做动平衡试验。</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9.4.2 对风机制动的膨胀机，在检修中应对空气过滤网进行检查清洗，并调试制动蝶</w:t>
      </w:r>
    </w:p>
    <w:p>
      <w:pPr>
        <w:widowControl/>
        <w:adjustRightInd w:val="0"/>
        <w:snapToGrid w:val="0"/>
        <w:spacing w:line="360" w:lineRule="auto"/>
        <w:jc w:val="left"/>
        <w:rPr>
          <w:rFonts w:hint="eastAsia" w:ascii="宋体" w:hAnsi="宋体" w:cs="宋体"/>
          <w:kern w:val="0"/>
          <w:sz w:val="24"/>
        </w:rPr>
      </w:pPr>
      <w:r>
        <w:rPr>
          <w:rFonts w:hint="eastAsia" w:ascii="宋体" w:hAnsi="宋体" w:cs="宋体"/>
          <w:kern w:val="0"/>
          <w:sz w:val="24"/>
        </w:rPr>
        <w:t>阀平衡锤。</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9.4.3 透平膨胀机入口前的快速切断阀、进口导叶及其执行机构、增压端的回流阀应随主机同时进行检修，保证其动作迅速、灵敏，防飞车联锁装置可靠。</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9.4.4 透平膨胀机的密封气调压阀、密封气管道系统应随主机同时进行检修调整，确保密封气系统可靠，防止润滑油进入透平端或增压端。</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9.4.5 活塞式膨胀机检修时，应检查或检修防飞车装置。</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9.4.6 膨胀机膨胀侧、增压透平膨胀机的增压侧的零部件应严格脱脂，防止油脂带入管道及塔内。</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9.4.7</w:t>
      </w:r>
    </w:p>
    <w:p>
      <w:pPr>
        <w:pStyle w:val="3"/>
        <w:adjustRightInd w:val="0"/>
        <w:snapToGrid w:val="0"/>
        <w:spacing w:before="0" w:after="0" w:line="360" w:lineRule="auto"/>
        <w:ind w:firstLine="480" w:firstLineChars="200"/>
        <w:rPr>
          <w:rFonts w:hint="eastAsia" w:ascii="宋体" w:hAnsi="宋体" w:eastAsia="宋体"/>
          <w:b w:val="0"/>
          <w:kern w:val="0"/>
          <w:sz w:val="24"/>
          <w:szCs w:val="24"/>
        </w:rPr>
      </w:pPr>
      <w:r>
        <w:rPr>
          <w:rFonts w:hint="eastAsia" w:ascii="宋体" w:hAnsi="宋体" w:eastAsia="宋体"/>
          <w:b w:val="0"/>
          <w:kern w:val="0"/>
          <w:sz w:val="24"/>
          <w:szCs w:val="24"/>
        </w:rPr>
        <w:t>9.5 低温液体泵</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9.5.1 低温液体泵应按照设备操作说明书或技术操作规程要求，进行定期检修。</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9.5.2 低温液体泵检修前，应先对设备加热至常温。</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9.5.3 低温液体泵检修时，应对轴承温度、密封气压力、出口压力、气化后氧气温度等安全保护联锁装置同时检修调试。</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9.5.4 低温液体泵检修时，应清除已使用过的油脂，然后再按规定加入适量的新油脂。液体泵所选用的油脂应为专用的高、低温润滑脂。</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9.5.5</w:t>
      </w:r>
    </w:p>
    <w:p>
      <w:pPr>
        <w:pStyle w:val="3"/>
        <w:adjustRightInd w:val="0"/>
        <w:snapToGrid w:val="0"/>
        <w:spacing w:before="0" w:after="0" w:line="360" w:lineRule="auto"/>
        <w:ind w:firstLine="480" w:firstLineChars="200"/>
        <w:rPr>
          <w:rFonts w:hint="eastAsia" w:ascii="宋体" w:hAnsi="宋体" w:eastAsia="宋体"/>
          <w:b w:val="0"/>
          <w:kern w:val="0"/>
          <w:sz w:val="24"/>
          <w:szCs w:val="24"/>
        </w:rPr>
      </w:pPr>
      <w:r>
        <w:rPr>
          <w:rFonts w:hint="eastAsia" w:ascii="宋体" w:hAnsi="宋体" w:eastAsia="宋体"/>
          <w:b w:val="0"/>
          <w:kern w:val="0"/>
          <w:sz w:val="24"/>
          <w:szCs w:val="24"/>
        </w:rPr>
        <w:t>9.6 氮气、氩气和稀有气体系统</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9.6.1 人员进入氮气、氩气及其他稀有气体容器检修前，应切断气源，堵好盲板，分析内部含氧量不低于19.5%。</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9.6.2 氩净化系统检修后，应进行气密性试验。经吹扫和用氮气置换合格后，方可投入使用。</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9.6.3 氪、氙系统富氧部分检修应禁油脂，投用前应严格脱脂。</w:t>
      </w:r>
    </w:p>
    <w:p>
      <w:pPr>
        <w:pStyle w:val="3"/>
        <w:adjustRightInd w:val="0"/>
        <w:snapToGrid w:val="0"/>
        <w:spacing w:before="0" w:after="0" w:line="360" w:lineRule="auto"/>
        <w:ind w:firstLine="480" w:firstLineChars="200"/>
        <w:rPr>
          <w:rFonts w:hint="eastAsia" w:ascii="宋体" w:hAnsi="宋体" w:eastAsia="宋体"/>
          <w:b w:val="0"/>
          <w:kern w:val="0"/>
          <w:sz w:val="24"/>
          <w:szCs w:val="24"/>
        </w:rPr>
      </w:pPr>
      <w:r>
        <w:rPr>
          <w:rFonts w:hint="eastAsia" w:ascii="宋体" w:hAnsi="宋体" w:eastAsia="宋体"/>
          <w:b w:val="0"/>
          <w:kern w:val="0"/>
          <w:sz w:val="24"/>
          <w:szCs w:val="24"/>
        </w:rPr>
        <w:t>9.7 氢气系统</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9.7.1 进入氢气站的检修人员不应穿化纤工作服与带钉鞋，严禁带入火种。施工中不准随意敲击设备，检修人员应使用铜质工具，不准随意触动运行设备，检修设备与运行设备间应采取隔离措施。</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9.7.2 氢气系统停运后，应切断电源、对地放电，用盲板切实隔断与运行设备的联系，经氮气置换合格后，方可进行检修。</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9.7.3 电解槽拆卸使用的钢铁制工具仅限用于设备的松紧，严禁进行敲打或冲击式松紧，如需要时必须垫用紫铜板。</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9.7.4 氢气设备、管道和容器在动火作业前应用氮气进行置换，至取样分析含氢量小于0.4%后方可进行作业。运行设备旁严禁动火。</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9.7.5 检修氢压机设备的零部件，应进行清洗处理，严防杂质混入设备内部。检修后必须先用氮气试车。</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9.7.6 制氢系统开车前，应先用氮气置换系统内的空气，经分析合格，并且检查电极的接线是否正确，对地电阻应大于1MΩ。</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9.7.7 检修人员与碱液接触时，应穿戴好防护用品，同时在现场备浓度为2%～3%的硼酸水溶液。</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9.7.8 氢气管道的安装及焊接应符合GB 50235和GB 50236中的有关规定。</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9.7.9 氢气设备、管道和容器等，检修后应按GB 50177的有关规定进行气密性试验和泄漏量试验，试验介质用空气或氮气。</w:t>
      </w:r>
    </w:p>
    <w:p>
      <w:pPr>
        <w:pStyle w:val="2"/>
        <w:adjustRightInd w:val="0"/>
        <w:snapToGrid w:val="0"/>
        <w:spacing w:before="0" w:after="0" w:line="360" w:lineRule="auto"/>
        <w:ind w:firstLine="480" w:firstLineChars="200"/>
        <w:rPr>
          <w:rFonts w:hint="eastAsia" w:ascii="宋体" w:hAnsi="宋体"/>
          <w:b w:val="0"/>
          <w:kern w:val="0"/>
          <w:sz w:val="24"/>
          <w:szCs w:val="24"/>
        </w:rPr>
      </w:pPr>
      <w:r>
        <w:rPr>
          <w:rFonts w:hint="eastAsia" w:ascii="宋体" w:hAnsi="宋体"/>
          <w:b w:val="0"/>
          <w:kern w:val="0"/>
          <w:sz w:val="24"/>
          <w:szCs w:val="24"/>
        </w:rPr>
        <w:t>10 氧气使用</w:t>
      </w:r>
    </w:p>
    <w:p>
      <w:pPr>
        <w:pStyle w:val="3"/>
        <w:adjustRightInd w:val="0"/>
        <w:snapToGrid w:val="0"/>
        <w:spacing w:before="0" w:after="0" w:line="360" w:lineRule="auto"/>
        <w:ind w:firstLine="480" w:firstLineChars="200"/>
        <w:rPr>
          <w:rFonts w:ascii="宋体" w:hAnsi="宋体" w:eastAsia="宋体"/>
          <w:b w:val="0"/>
          <w:kern w:val="0"/>
          <w:sz w:val="24"/>
          <w:szCs w:val="24"/>
        </w:rPr>
      </w:pPr>
      <w:r>
        <w:rPr>
          <w:rFonts w:hint="eastAsia" w:ascii="宋体" w:hAnsi="宋体" w:eastAsia="宋体"/>
          <w:b w:val="0"/>
          <w:kern w:val="0"/>
          <w:sz w:val="24"/>
          <w:szCs w:val="24"/>
        </w:rPr>
        <w:t>10.1 管道氧气使用</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10.1.1 供氧管网应建立完整的安全管理制度,禁止随意增设氧气用户或用点。</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10.1.2 连续使用或小时用氧量较大的用户,宜采用管道输送。</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10.1.3 根据用户使用要求,宜设置相应的氧气调节装置。交接阀前应设置可定期清洗的过滤器。</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10.1.4</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10.1.5 高炉使用富氧时,在连接鼓风机管道之前的氧气管道上应设快速切断阀,吹氧压力应能远距离控制。</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正常送氧时,高炉风机后富氧的氧气管道上应设逆止阀，氧气压力应大于冷风压力0.1MPa,低到接近该值时,应及时通知供氧单位。小于该值时,应停止供氧；高炉风机前富氧的，应设高炉风机停机断氧的联锁装置和充氮保护措施。</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当风中含氧超过规定值、热风系统漏风、风口被堵时，应停止加氧。</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当鼓风系统检修时,应关闭供氧阀门,并加堵盲板。</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10.1.6 炼钢供氧及氧气调节系统应满足工艺要求。炼钢用氧，应遵守下列规定:</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a)氧气调节装置应设置必要的流量、压力监测、自动控制系统、安全联锁、快速切断</w:t>
      </w:r>
    </w:p>
    <w:p>
      <w:pPr>
        <w:widowControl/>
        <w:adjustRightInd w:val="0"/>
        <w:snapToGrid w:val="0"/>
        <w:spacing w:line="360" w:lineRule="auto"/>
        <w:jc w:val="left"/>
        <w:rPr>
          <w:rFonts w:hint="eastAsia" w:ascii="宋体" w:hAnsi="宋体" w:cs="宋体"/>
          <w:kern w:val="0"/>
          <w:sz w:val="24"/>
        </w:rPr>
      </w:pPr>
      <w:r>
        <w:rPr>
          <w:rFonts w:hint="eastAsia" w:ascii="宋体" w:hAnsi="宋体" w:cs="宋体"/>
          <w:kern w:val="0"/>
          <w:sz w:val="24"/>
        </w:rPr>
        <w:t>保护系统。</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b)氧气压力低于规定值,吹氧管应自动提升并发出声光信号；当氧枪(副枪)插进炉口一定距离与提出炉口一定距离时,氧气切断阀能自动开启或关闭。</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c)氧气放散阀及放散管口应避开热源和散发火花位置,严格防止放散管内积存炉渣、粉尘等杂质。</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d)新氧枪投用前,应对冷却管层进行水压试验,试验压力为工作压力的2.5倍,并对连接胶管、管子、管件进行脱脂除油、脱水。</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e)当氧气压力、炉口氮封压力、压缩空气压力低于规定值；汽化冷却水装置和吹氧管漏；转炉烟罩严重漏水；转炉水冷炉口无水或冒水蒸气；氧枪粘枪超重或提不出；密封圈、氧压表、氧流量计、高压水压力表、水出口温度计等仪表失灵时,应停止吹氧。</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f)密切注视吹氧开始到吹氧结束的全过程,发现异常情况应及时检查处理。</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10.1.7 使用氧气与其他各类物质进行氧化反应时,应遵守下列规定：</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a)定期对供氧系统的易泄漏的部位进行查漏,严禁氧气泄漏后与各种油污,易燃、易爆物品直接接触。</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b)氧化反应器上应装有防爆膜,爆破压力符合设计要求,必须定期检查、更换。</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c)在进入反应器之前的氧管道和其他气体管道、油管道上,必须安装逆止阀和快速切断阀或安装止逆水封。逆止阀和快速切断阀应动作灵敏、可靠,止逆水封结构和水封高度应满足氧气、煤气的压力要求,水封不能断水,应保持溢流状态。</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d)在进入反应器前的管道及其他物流管道上,必须安装压力表,并设压力报警联锁装置。</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e)气化炉、反应器等使用氧气设备宜设有燃气及其他气体中的含氧自动分析仪,同时应定时进行人工手动分析,与仪表对照,发现疑点应连续进行人工分析,到消除疑点为止。</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f)溶剂生产中,氧化塔内应选择合适的填料,使塔内的气液分布均匀,保证氧化反应顺利进行。</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g)重油气化制煤气操作中,必须严格控制氧与重油投入量的比例。在生产调节负荷时，应遵守“加量先加油,减量先减氧”的原则。</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h)在化学纤维生产中,氧化反应器投产前应分析其中含氧量,当含氧量低于0.5%时,方可开车生产。配料要按配方进行,投料要按规定次序。对氧气参加的原料配比更应严格控制,使之控制在爆炸极限之外。</w:t>
      </w:r>
    </w:p>
    <w:p>
      <w:pPr>
        <w:pStyle w:val="3"/>
        <w:adjustRightInd w:val="0"/>
        <w:snapToGrid w:val="0"/>
        <w:spacing w:before="0" w:after="0" w:line="360" w:lineRule="auto"/>
        <w:ind w:firstLine="480" w:firstLineChars="200"/>
        <w:rPr>
          <w:rFonts w:hint="eastAsia" w:ascii="宋体" w:hAnsi="宋体" w:eastAsia="宋体"/>
          <w:b w:val="0"/>
          <w:kern w:val="0"/>
          <w:sz w:val="24"/>
          <w:szCs w:val="24"/>
        </w:rPr>
      </w:pPr>
      <w:r>
        <w:rPr>
          <w:rFonts w:hint="eastAsia" w:ascii="宋体" w:hAnsi="宋体" w:eastAsia="宋体"/>
          <w:b w:val="0"/>
          <w:kern w:val="0"/>
          <w:sz w:val="24"/>
          <w:szCs w:val="24"/>
        </w:rPr>
        <w:t>10.2 氧气和相关气体气瓶的储运与使用</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10.2.1 储存气瓶时，应遵守下列规定：</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a)氧气瓶不准与其他气瓶混放，好、坏、空、实瓶应分别存放；</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b)存放气瓶时，应旋紧瓶帽，放置整齐，留出通道。气瓶立放时，应设有防倒装置。卧放时，应防止滚动，头部朝向一方，堆放气瓶不宜超过五层；</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c)应置于专用仓库储存，气瓶仓库应符合GB 50016的有关规定；</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d)仓库内不准有地沟、暗道。严禁明火和其他热源，仓库内应通风、干燥，避免阳光直射。冬天采暖只准用水暖或低压蒸汽方式。</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10.2.2 运输和装卸气瓶时，应遵守下列要求：</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a)运输工具上应有明显的安全标志；</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b)必须配戴好瓶帽、防震圈（集装气瓶除外），轻装轻卸，严禁抛滑、滚碰；</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c)气瓶吊装必须采用防滑落的专用器具进行；</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d)瓶内气体相互接触能引起燃烧、爆炸，产生毒物的气瓶，不准同车（厢）运输；易燃、易爆、腐蚀性物品或与瓶内气体起化学反应的物品，不准与氧气瓶一起运输；</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e)气瓶装在车上，应妥善固定。横放时，头部朝向一方，垛高不准超过车厢高度，且不超过五层；立放时，车厢高度应在瓶高的三分之二以上；</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f)夏季运输应有遮阳设施，避免曝晒；在城市的繁华市区应避免白天运输；</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g)运输气瓶的车、船，不准在繁华市区、重要机关附近停靠；车、船停靠时，司机与押运人员不准同时离开；</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h)沾染油脂的运输工具，不准装运氧气瓶。</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10.2.3 气瓶使用时，应遵守下列规定：</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a)气瓶的颜色和标记应严格执行GB 7144的规定，不准擅自更改气瓶的钢印和颜色标记，严禁改装气瓶；</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b)气瓶使用前应进行安全状况检查，对盛装气体进行确认；</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c)气瓶的放置地点，不准靠近热源，距明火10m以外；</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d)气瓶立放时应采取防止倾倒措施,严禁敲击、碰撞;</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e)夏季应防止曝晒；冬季气瓶阀冻结，严禁用明火烘烤；严禁在气瓶上进行电焊引弧；</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f)瓶内气体不准用尽，应留有剩余压力，永久气体气瓶的剩余压力，应不小于0.5MPa；</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g)在可能造成回流的场合，使用设备必须配置防止倒灌的装置，如单向阀、止回阀、缓冲罐等；</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h)与气瓶连接的接头、管道、阀门、减压装置，应采用铜基合金制造。使用前必须严格检查，严防沾染油污、油脂和溶剂。内部不准积存锈渣、焊渣及其他机械杂质；</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i)减压装置前后应设置压力表，气流速度不应大于规定流速，用氧量较大时可采用汇流排，汇流排上应有向室外排放的放散管线及阀门。氧气汇流排充装管应采用紫铜管或金属软管。</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j)割炬使用的氧气胶管应是专用耐压胶管。胶管在使用中，严防损坏、热烧伤、化学腐蚀；</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k)氧焊、气割作业时，火源与氧气瓶的间距应大于10m。</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10.2.4</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a)氢气瓶在存放、使用过程中严禁泄漏，其周围必须严禁烟火。仓库内气瓶存放的数量不能超过规定值。氢气瓶库应采取必要的通风换气措施；</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b)稀有气体气瓶的存放、使用过程中，必须与氧气严格区分，它们之间应分库保管、分开使用，严防用相关气体的气瓶充当氧气瓶使用。</w:t>
      </w:r>
    </w:p>
    <w:p>
      <w:pPr>
        <w:pStyle w:val="3"/>
        <w:adjustRightInd w:val="0"/>
        <w:snapToGrid w:val="0"/>
        <w:spacing w:before="0" w:after="0" w:line="360" w:lineRule="auto"/>
        <w:ind w:firstLine="480" w:firstLineChars="200"/>
        <w:rPr>
          <w:rFonts w:hint="eastAsia" w:ascii="宋体" w:hAnsi="宋体" w:eastAsia="宋体"/>
          <w:b w:val="0"/>
          <w:kern w:val="0"/>
          <w:sz w:val="24"/>
          <w:szCs w:val="24"/>
        </w:rPr>
      </w:pPr>
      <w:r>
        <w:rPr>
          <w:rFonts w:hint="eastAsia" w:ascii="宋体" w:hAnsi="宋体" w:eastAsia="宋体"/>
          <w:b w:val="0"/>
          <w:kern w:val="0"/>
          <w:sz w:val="24"/>
          <w:szCs w:val="24"/>
        </w:rPr>
        <w:t>10.3 液氧的使用</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10.3.1 各个用户对液氧的使用，应建立完善的《技术操作规程》。</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10.3.2 液氧气化装置严禁明火或电加热气化。</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10.3.3 液氧罐投用前，应按要求对系统进行试压、脱脂并用无油的干燥氮气进行吹扫，当罐内露点不高于-45℃时，方准投入使用。</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10.3.4 采用多级液氧泵增压时，液氧泵周围应建有符合安全要求的防护墙，电气开关应安装在墙外。</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a)泵体密封气应采用干燥、无油的氮气。密封气压力和流量应严格控制，满足设计要求。</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b)泵轴承的润滑脂应按设备技术性能要求选择，采用耐高低温、不易燃烧的润滑脂。</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c)液氧泵停车后和再起动前，应用常温、干燥、无油的氮气进行吹扫；起动前，经过充分预冷，盘车检查、确认无异常现象后，方可起动。</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10.3.5 应严格监控液氧气化器后的氧气温度不应低于-10℃。</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10.3.6 液体加压前的管道上应安装切断阀、安全阀、排液阀。加压后的管道上应设有止回阀。</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10.3.7 液氧排放口附近严禁放置易燃易爆物质及一切杂物。液氧排放口附近地面不</w:t>
      </w:r>
    </w:p>
    <w:p>
      <w:pPr>
        <w:widowControl/>
        <w:adjustRightInd w:val="0"/>
        <w:snapToGrid w:val="0"/>
        <w:spacing w:line="360" w:lineRule="auto"/>
        <w:jc w:val="left"/>
        <w:rPr>
          <w:rFonts w:hint="eastAsia" w:ascii="宋体" w:hAnsi="宋体" w:cs="宋体"/>
          <w:kern w:val="0"/>
          <w:sz w:val="24"/>
        </w:rPr>
      </w:pPr>
      <w:r>
        <w:rPr>
          <w:rFonts w:hint="eastAsia" w:ascii="宋体" w:hAnsi="宋体" w:cs="宋体"/>
          <w:kern w:val="0"/>
          <w:sz w:val="24"/>
        </w:rPr>
        <w:t>应使用含有易燃、易爆的材料（如沥青等）建造。</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10.3.8 应设置专门的分析仪器，配备有专业人员，每周至少一次对液氧储罐内的乙炔含量进行分析，当超过0.1×10</w:t>
      </w:r>
      <w:r>
        <w:rPr>
          <w:rFonts w:hint="eastAsia" w:ascii="宋体" w:hAnsi="宋体" w:cs="宋体"/>
          <w:kern w:val="0"/>
          <w:sz w:val="24"/>
          <w:vertAlign w:val="superscript"/>
        </w:rPr>
        <w:t>-6</w:t>
      </w:r>
      <w:r>
        <w:rPr>
          <w:rFonts w:hint="eastAsia" w:ascii="宋体" w:hAnsi="宋体" w:cs="宋体"/>
          <w:kern w:val="0"/>
          <w:sz w:val="24"/>
        </w:rPr>
        <w:t>时，应排放液氧。</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10.3.9 严禁使用没有经过脱脂处理的容器盛装液氧。</w:t>
      </w:r>
    </w:p>
    <w:p>
      <w:pPr>
        <w:pStyle w:val="2"/>
        <w:adjustRightInd w:val="0"/>
        <w:snapToGrid w:val="0"/>
        <w:spacing w:before="0" w:after="0" w:line="360" w:lineRule="auto"/>
        <w:ind w:firstLine="480" w:firstLineChars="200"/>
        <w:rPr>
          <w:rFonts w:hint="eastAsia" w:ascii="宋体" w:hAnsi="宋体"/>
          <w:b w:val="0"/>
          <w:kern w:val="0"/>
          <w:sz w:val="24"/>
          <w:szCs w:val="24"/>
        </w:rPr>
      </w:pPr>
      <w:r>
        <w:rPr>
          <w:rFonts w:hint="eastAsia" w:ascii="宋体" w:hAnsi="宋体"/>
          <w:b w:val="0"/>
          <w:kern w:val="0"/>
          <w:sz w:val="24"/>
          <w:szCs w:val="24"/>
        </w:rPr>
        <w:t>11 职业保护</w:t>
      </w:r>
    </w:p>
    <w:p>
      <w:pPr>
        <w:pStyle w:val="3"/>
        <w:adjustRightInd w:val="0"/>
        <w:snapToGrid w:val="0"/>
        <w:spacing w:before="0" w:after="0" w:line="360" w:lineRule="auto"/>
        <w:ind w:firstLine="480" w:firstLineChars="200"/>
        <w:rPr>
          <w:rFonts w:ascii="宋体" w:hAnsi="宋体" w:eastAsia="宋体"/>
          <w:b w:val="0"/>
          <w:kern w:val="0"/>
          <w:sz w:val="24"/>
          <w:szCs w:val="24"/>
        </w:rPr>
      </w:pPr>
      <w:r>
        <w:rPr>
          <w:rFonts w:hint="eastAsia" w:ascii="宋体" w:hAnsi="宋体" w:eastAsia="宋体"/>
          <w:b w:val="0"/>
          <w:kern w:val="0"/>
          <w:sz w:val="24"/>
          <w:szCs w:val="24"/>
        </w:rPr>
        <w:t>11.1 采暖、空调</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11.1.1 氧气厂（站、车间）内严禁用明火采暖。</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11.1.2 使用集中取暖,室内采暖计算温度按下列规定执行：</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a)储气囊间、储罐间为+5℃；</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b)空瓶间、实瓶间为+10℃；</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c)办公室、生活间按GB 50019的规定执行；</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d)除上述房间外，其他房间为+15℃。</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11.1.3 控制室、操作室、分析室等宜设空气调节设施。</w:t>
      </w:r>
    </w:p>
    <w:p>
      <w:pPr>
        <w:pStyle w:val="3"/>
        <w:adjustRightInd w:val="0"/>
        <w:snapToGrid w:val="0"/>
        <w:spacing w:before="0" w:after="0" w:line="360" w:lineRule="auto"/>
        <w:ind w:firstLine="480" w:firstLineChars="200"/>
        <w:rPr>
          <w:rFonts w:hint="eastAsia" w:ascii="宋体" w:hAnsi="宋体" w:eastAsia="宋体"/>
          <w:b w:val="0"/>
          <w:kern w:val="0"/>
          <w:sz w:val="24"/>
          <w:szCs w:val="24"/>
        </w:rPr>
      </w:pPr>
      <w:r>
        <w:rPr>
          <w:rFonts w:hint="eastAsia" w:ascii="宋体" w:hAnsi="宋体" w:eastAsia="宋体"/>
          <w:b w:val="0"/>
          <w:kern w:val="0"/>
          <w:sz w:val="24"/>
          <w:szCs w:val="24"/>
        </w:rPr>
        <w:t>11.2 防噪声</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11.2.1 氧气厂（站、车间）对周围环境的噪声影响，应符合</w:t>
      </w:r>
      <w:r>
        <w:fldChar w:fldCharType="begin"/>
      </w:r>
      <w:r>
        <w:instrText xml:space="preserve"> HYPERLINK </w:instrText>
      </w:r>
      <w:r>
        <w:fldChar w:fldCharType="separate"/>
      </w:r>
      <w:r>
        <w:rPr>
          <w:rStyle w:val="8"/>
          <w:rFonts w:hint="eastAsia" w:ascii="宋体" w:hAnsi="宋体"/>
          <w:sz w:val="24"/>
        </w:rPr>
        <w:t>GB 12348</w:t>
      </w:r>
      <w:r>
        <w:rPr>
          <w:rStyle w:val="8"/>
          <w:rFonts w:hint="eastAsia" w:ascii="宋体" w:hAnsi="宋体"/>
          <w:sz w:val="24"/>
        </w:rPr>
        <w:fldChar w:fldCharType="end"/>
      </w:r>
      <w:r>
        <w:rPr>
          <w:rFonts w:hint="eastAsia" w:ascii="宋体" w:hAnsi="宋体" w:cs="宋体"/>
          <w:kern w:val="0"/>
          <w:sz w:val="24"/>
        </w:rPr>
        <w:t>和GB 3096的有关规定。</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11.2.2 车间操作区（包括流动岗位）作业时间内8h连续接触噪声，最高不应超过85dB(A)。隔离操作控制室应在70dB(A)以下。</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11.2.3 现有生产车间的噪声超过标准的，应设隔声装置或单独的隔声操作室。对不能设隔音操作室的区域或岗位，应给操作人员配备耳塞或耳罩。</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11.2.4 噪声超过标准的设备、管道、设施应有相应的降噪声措施。</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11.2.5 经常放散压缩气体的管口，应设置消声装置。</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11.2.6 应定期监测厂内噪声污染源，对于超标者应及时治理。</w:t>
      </w:r>
    </w:p>
    <w:p>
      <w:pPr>
        <w:pStyle w:val="3"/>
        <w:adjustRightInd w:val="0"/>
        <w:snapToGrid w:val="0"/>
        <w:spacing w:before="0" w:after="0" w:line="360" w:lineRule="auto"/>
        <w:ind w:firstLine="480" w:firstLineChars="200"/>
        <w:rPr>
          <w:rFonts w:hint="eastAsia" w:ascii="宋体" w:hAnsi="宋体" w:eastAsia="宋体"/>
          <w:b w:val="0"/>
          <w:kern w:val="0"/>
          <w:sz w:val="24"/>
          <w:szCs w:val="24"/>
        </w:rPr>
      </w:pPr>
      <w:r>
        <w:rPr>
          <w:rFonts w:hint="eastAsia" w:ascii="宋体" w:hAnsi="宋体" w:eastAsia="宋体"/>
          <w:b w:val="0"/>
          <w:kern w:val="0"/>
          <w:sz w:val="24"/>
          <w:szCs w:val="24"/>
        </w:rPr>
        <w:t>11.3 防毒、防冻伤、防窒息</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11.3.1 在使用溶剂脱脂时，应有良好的通风设施。</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11.3.2 作业人员应采取可靠防护措施，避免被液空、液氧、液氮、液氩等低温液体冻伤。</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11.3.3 盛装低温液体的敞口杜瓦容器最大充装量应控制在容器的三分之二液位高，不准超装。</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11.3.4 各种气体放散管，均应伸出厂房墙外。放散口宜设在高出操作面4m以上的安全处。地坑排放的氮气放散管口，距主控室不应小于10m。</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11.3.5 生产、使用氮气、氩气及稀有气体的现场或操作室，应有良好的通风换气设施及明显的安全警示标志。仪表气源不宜使用氮气，必须使用时，应有防止人员窒息的防护措施。</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11.3.6 在检修作业时，应采取可靠措施和相应检测手段，并有专人监护，严防氮气、氩气及稀有气体等造成窒息事故。</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11.3.7 应对氮气、氩气及稀有气体的阀门严加管理，严禁误操作。</w:t>
      </w:r>
    </w:p>
    <w:p>
      <w:pPr>
        <w:widowControl/>
        <w:adjustRightInd w:val="0"/>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11.3.8 在空分装置的冷箱、氮气压缩站等缺氧危险场所作业时，应严格执行GB 8958的有关规定。</w:t>
      </w:r>
    </w:p>
    <w:p>
      <w:pPr>
        <w:spacing w:line="160" w:lineRule="exact"/>
        <w:rPr>
          <w:rFonts w:hint="eastAsia"/>
          <w:b/>
          <w:color w:val="FFFFFF"/>
        </w:rPr>
      </w:pPr>
      <w:r>
        <w:fldChar w:fldCharType="begin"/>
      </w:r>
      <w:r>
        <w:instrText xml:space="preserve"> HYPERLINK </w:instrText>
      </w:r>
      <w:r>
        <w:fldChar w:fldCharType="separate"/>
      </w:r>
      <w:r>
        <w:fldChar w:fldCharType="end"/>
      </w:r>
      <w:r>
        <w:fldChar w:fldCharType="begin"/>
      </w:r>
      <w:r>
        <w:instrText xml:space="preserve"> HYPERLINK </w:instrText>
      </w:r>
      <w:r>
        <w:fldChar w:fldCharType="separate"/>
      </w:r>
      <w:r>
        <w:fldChar w:fldCharType="end"/>
      </w:r>
    </w:p>
    <w:sectPr>
      <w:pgSz w:w="11906" w:h="16838"/>
      <w:pgMar w:top="1440" w:right="1466" w:bottom="1091" w:left="1800" w:header="779" w:footer="48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1F25"/>
    <w:rsid w:val="000146AA"/>
    <w:rsid w:val="000208DA"/>
    <w:rsid w:val="000305B0"/>
    <w:rsid w:val="000419FE"/>
    <w:rsid w:val="00043BED"/>
    <w:rsid w:val="00055679"/>
    <w:rsid w:val="000C45A6"/>
    <w:rsid w:val="000D7A03"/>
    <w:rsid w:val="000F2D62"/>
    <w:rsid w:val="001463EE"/>
    <w:rsid w:val="001B41C5"/>
    <w:rsid w:val="001D5BB6"/>
    <w:rsid w:val="001D5D39"/>
    <w:rsid w:val="00203B49"/>
    <w:rsid w:val="00294714"/>
    <w:rsid w:val="002B6E77"/>
    <w:rsid w:val="002C5306"/>
    <w:rsid w:val="002F1734"/>
    <w:rsid w:val="003026B9"/>
    <w:rsid w:val="0034006C"/>
    <w:rsid w:val="003C3D20"/>
    <w:rsid w:val="003C5F59"/>
    <w:rsid w:val="003D31F5"/>
    <w:rsid w:val="0041663E"/>
    <w:rsid w:val="00433264"/>
    <w:rsid w:val="00462642"/>
    <w:rsid w:val="00464E21"/>
    <w:rsid w:val="004C4EF5"/>
    <w:rsid w:val="004D0AB6"/>
    <w:rsid w:val="004E2037"/>
    <w:rsid w:val="0055080D"/>
    <w:rsid w:val="00581D9F"/>
    <w:rsid w:val="006E64F8"/>
    <w:rsid w:val="00753351"/>
    <w:rsid w:val="00783912"/>
    <w:rsid w:val="007E6D84"/>
    <w:rsid w:val="00811F25"/>
    <w:rsid w:val="00815D39"/>
    <w:rsid w:val="008258E2"/>
    <w:rsid w:val="0084776D"/>
    <w:rsid w:val="008738C7"/>
    <w:rsid w:val="008A5219"/>
    <w:rsid w:val="008B120B"/>
    <w:rsid w:val="008B39B8"/>
    <w:rsid w:val="00A523DD"/>
    <w:rsid w:val="00A75E62"/>
    <w:rsid w:val="00AC70E8"/>
    <w:rsid w:val="00C1003A"/>
    <w:rsid w:val="00C311F9"/>
    <w:rsid w:val="00C95CFC"/>
    <w:rsid w:val="00CD7A00"/>
    <w:rsid w:val="00D26D9A"/>
    <w:rsid w:val="00DB26F0"/>
    <w:rsid w:val="00DF4F0E"/>
    <w:rsid w:val="00E05BED"/>
    <w:rsid w:val="00E11ABC"/>
    <w:rsid w:val="00E672BF"/>
    <w:rsid w:val="00E72AF4"/>
    <w:rsid w:val="00E804B4"/>
    <w:rsid w:val="00E81EC9"/>
    <w:rsid w:val="00EC3996"/>
    <w:rsid w:val="00ED4CEA"/>
    <w:rsid w:val="00EF75F8"/>
    <w:rsid w:val="00F01400"/>
    <w:rsid w:val="00F60DB9"/>
    <w:rsid w:val="00FC05D8"/>
    <w:rsid w:val="450B0F27"/>
    <w:rsid w:val="5F85658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lang w:val="en-US" w:eastAsia="en-US" w:bidi="ar-SA"/>
    </w:rPr>
  </w:style>
  <w:style w:type="paragraph" w:styleId="2">
    <w:name w:val="heading 1"/>
    <w:next w:val="1"/>
    <w:qFormat/>
    <w:uiPriority w:val="0"/>
    <w:pPr>
      <w:keepNext/>
      <w:keepLines/>
      <w:widowControl w:val="0"/>
      <w:spacing w:before="340" w:after="330" w:line="578" w:lineRule="auto"/>
      <w:jc w:val="both"/>
      <w:outlineLvl w:val="0"/>
    </w:pPr>
    <w:rPr>
      <w:rFonts w:ascii="Times New Roman" w:hAnsi="Times New Roman" w:eastAsia="宋体" w:cs="Times New Roman"/>
      <w:b/>
      <w:bCs/>
      <w:kern w:val="44"/>
      <w:sz w:val="44"/>
      <w:szCs w:val="44"/>
      <w:lang w:val="en-US" w:eastAsia="zh-CN" w:bidi="ar-SA"/>
    </w:rPr>
  </w:style>
  <w:style w:type="paragraph" w:styleId="3">
    <w:name w:val="heading 2"/>
    <w:next w:val="1"/>
    <w:qFormat/>
    <w:uiPriority w:val="0"/>
    <w:pPr>
      <w:keepNext/>
      <w:keepLines/>
      <w:widowControl w:val="0"/>
      <w:spacing w:before="260" w:after="260" w:line="416" w:lineRule="auto"/>
      <w:jc w:val="both"/>
      <w:outlineLvl w:val="1"/>
    </w:pPr>
    <w:rPr>
      <w:rFonts w:ascii="Arial" w:hAnsi="Arial" w:eastAsia="黑体" w:cs="Times New Roman"/>
      <w:b/>
      <w:bCs/>
      <w:kern w:val="2"/>
      <w:sz w:val="32"/>
      <w:szCs w:val="32"/>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qFormat/>
    <w:uiPriority w:val="0"/>
    <w:pPr>
      <w:widowControl/>
      <w:spacing w:before="100" w:beforeAutospacing="1" w:after="100" w:afterAutospacing="1" w:line="360" w:lineRule="auto"/>
      <w:jc w:val="left"/>
    </w:pPr>
    <w:rPr>
      <w:rFonts w:ascii="宋体" w:hAnsi="宋体" w:eastAsia="宋体" w:cs="宋体"/>
      <w:kern w:val="0"/>
      <w:sz w:val="24"/>
      <w:szCs w:val="24"/>
      <w:lang w:val="en-US" w:eastAsia="zh-CN" w:bidi="ar-SA"/>
    </w:rPr>
  </w:style>
  <w:style w:type="character" w:styleId="7">
    <w:name w:val="page number"/>
    <w:basedOn w:val="6"/>
    <w:qFormat/>
    <w:uiPriority w:val="0"/>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wmf"/><Relationship Id="rId4" Type="http://schemas.openxmlformats.org/officeDocument/2006/relationships/image" Target="media/image1.wm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user\My%20Documents\Word&#25209;&#37327;&#27597;&#29256;.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0</Pages>
  <Words>0</Words>
  <Characters>0</Characters>
  <Lines>0</Lines>
  <Paragraphs>0</Paragraphs>
  <TotalTime>4</TotalTime>
  <ScaleCrop>false</ScaleCrop>
  <LinksUpToDate>false</LinksUpToDate>
  <CharactersWithSpaces>0</CharactersWithSpaces>
  <Application>WPS Office_11.1.0.11405_F1E327BC-269C-435d-A152-05C5408002CA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2022-02-25T07:27:39Z</dcterms:created>
  <dc:creator>Administrator</dc:creator>
  <cp:lastModifiedBy>向阳花开</cp:lastModifiedBy>
  <dcterms:modified xsi:type="dcterms:W3CDTF">2022-02-25T07:32:29Z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NXTAG2">
    <vt:lpwstr>000800ee050000000000010250500207f7000400038000</vt:lpwstr>
  </property>
  <property fmtid="{D5CDD505-2E9C-101B-9397-08002B2CF9AE}" pid="3" name="KSOProductBuildVer">
    <vt:lpwstr>2052-11.1.0.11405</vt:lpwstr>
  </property>
  <property fmtid="{D5CDD505-2E9C-101B-9397-08002B2CF9AE}" pid="4" name="ICV">
    <vt:lpwstr>FCC76D46AA7B46228E6556328012FF67</vt:lpwstr>
  </property>
</Properties>
</file>