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textAlignment w:val="auto"/>
        <w:rPr>
          <w:rFonts w:hint="eastAsia" w:ascii="黑体" w:hAnsi="黑体" w:eastAsia="黑体" w:cs="黑体"/>
          <w:b w:val="0"/>
          <w:bCs w:val="0"/>
          <w:sz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pacing w:line="240" w:lineRule="auto"/>
        <w:jc w:val="left"/>
        <w:textAlignment w:val="auto"/>
        <w:rPr>
          <w:rFonts w:hint="eastAsia"/>
          <w:b w:val="0"/>
          <w:bCs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pacing w:line="240" w:lineRule="auto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</w:p>
    <w:p>
      <w:pPr>
        <w:pStyle w:val="2"/>
        <w:keepNext w:val="0"/>
        <w:keepLines w:val="0"/>
        <w:pageBreakBefore w:val="0"/>
        <w:kinsoku/>
        <w:wordWrap/>
        <w:topLinePunct w:val="0"/>
        <w:bidi w:val="0"/>
        <w:adjustRightInd/>
        <w:spacing w:after="0" w:afterLines="0" w:line="240" w:lineRule="auto"/>
        <w:jc w:val="left"/>
        <w:textAlignment w:val="auto"/>
        <w:rPr>
          <w:rFonts w:hint="eastAsia"/>
          <w:b w:val="0"/>
          <w:bCs w:val="0"/>
          <w:sz w:val="32"/>
          <w:szCs w:val="32"/>
          <w:lang w:eastAsia="zh-CN"/>
        </w:rPr>
      </w:pPr>
    </w:p>
    <w:p>
      <w:pPr>
        <w:pStyle w:val="2"/>
        <w:keepNext w:val="0"/>
        <w:keepLines w:val="0"/>
        <w:pageBreakBefore w:val="0"/>
        <w:kinsoku/>
        <w:wordWrap/>
        <w:topLinePunct w:val="0"/>
        <w:bidi w:val="0"/>
        <w:adjustRightInd/>
        <w:spacing w:after="0" w:afterLines="0" w:line="240" w:lineRule="auto"/>
        <w:jc w:val="left"/>
        <w:textAlignment w:val="auto"/>
        <w:rPr>
          <w:rFonts w:hint="eastAsia"/>
          <w:b w:val="0"/>
          <w:bCs w:val="0"/>
          <w:sz w:val="32"/>
          <w:szCs w:val="32"/>
          <w:lang w:eastAsia="zh-CN"/>
        </w:rPr>
      </w:pPr>
      <w:bookmarkStart w:id="0" w:name="_GoBack"/>
    </w:p>
    <w:bookmarkEnd w:id="0"/>
    <w:p>
      <w:pPr>
        <w:keepNext w:val="0"/>
        <w:keepLines w:val="0"/>
        <w:pageBreakBefore w:val="0"/>
        <w:kinsoku/>
        <w:wordWrap/>
        <w:topLinePunct w:val="0"/>
        <w:bidi w:val="0"/>
        <w:adjustRightIn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52"/>
          <w:szCs w:val="5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52"/>
          <w:szCs w:val="52"/>
          <w:lang w:eastAsia="zh-CN"/>
        </w:rPr>
        <w:t>工业领域数据安全管理试点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52"/>
          <w:szCs w:val="52"/>
          <w:lang w:eastAsia="zh-CN"/>
        </w:rPr>
      </w:pPr>
      <w:r>
        <w:rPr>
          <w:rFonts w:hint="default" w:ascii="方正小标宋简体" w:hAnsi="方正小标宋简体" w:eastAsia="方正小标宋简体" w:cs="方正小标宋简体"/>
          <w:b w:val="0"/>
          <w:bCs w:val="0"/>
          <w:sz w:val="52"/>
          <w:szCs w:val="52"/>
          <w:lang w:eastAsia="zh-CN"/>
        </w:rPr>
        <w:t>申报书</w:t>
      </w:r>
    </w:p>
    <w:p>
      <w:pPr>
        <w:pStyle w:val="2"/>
        <w:keepNext w:val="0"/>
        <w:keepLines w:val="0"/>
        <w:pageBreakBefore w:val="0"/>
        <w:kinsoku/>
        <w:wordWrap/>
        <w:topLinePunct w:val="0"/>
        <w:bidi w:val="0"/>
        <w:adjustRightInd/>
        <w:spacing w:after="0" w:afterLines="0" w:line="240" w:lineRule="auto"/>
        <w:textAlignment w:val="auto"/>
        <w:rPr>
          <w:rFonts w:hint="eastAsia"/>
          <w:b w:val="0"/>
          <w:bCs w:val="0"/>
          <w:sz w:val="32"/>
          <w:szCs w:val="32"/>
          <w:lang w:eastAsia="zh-CN"/>
        </w:rPr>
      </w:pPr>
    </w:p>
    <w:p>
      <w:pPr>
        <w:pStyle w:val="2"/>
        <w:keepNext w:val="0"/>
        <w:keepLines w:val="0"/>
        <w:pageBreakBefore w:val="0"/>
        <w:kinsoku/>
        <w:wordWrap/>
        <w:topLinePunct w:val="0"/>
        <w:bidi w:val="0"/>
        <w:adjustRightInd/>
        <w:spacing w:after="0" w:afterLines="0" w:line="240" w:lineRule="auto"/>
        <w:textAlignment w:val="auto"/>
        <w:rPr>
          <w:rFonts w:hint="eastAsia"/>
          <w:b w:val="0"/>
          <w:bCs w:val="0"/>
          <w:sz w:val="32"/>
          <w:szCs w:val="32"/>
          <w:lang w:eastAsia="zh-CN"/>
        </w:rPr>
      </w:pPr>
    </w:p>
    <w:p>
      <w:pPr>
        <w:pStyle w:val="2"/>
        <w:keepNext w:val="0"/>
        <w:keepLines w:val="0"/>
        <w:pageBreakBefore w:val="0"/>
        <w:kinsoku/>
        <w:wordWrap/>
        <w:topLinePunct w:val="0"/>
        <w:bidi w:val="0"/>
        <w:adjustRightInd/>
        <w:spacing w:after="0" w:afterLines="0" w:line="240" w:lineRule="auto"/>
        <w:textAlignment w:val="auto"/>
        <w:rPr>
          <w:rFonts w:hint="eastAsia"/>
          <w:b w:val="0"/>
          <w:bCs w:val="0"/>
          <w:sz w:val="32"/>
          <w:szCs w:val="32"/>
          <w:lang w:eastAsia="zh-CN"/>
        </w:rPr>
      </w:pPr>
    </w:p>
    <w:p>
      <w:pPr>
        <w:pStyle w:val="2"/>
        <w:keepNext w:val="0"/>
        <w:keepLines w:val="0"/>
        <w:pageBreakBefore w:val="0"/>
        <w:kinsoku/>
        <w:wordWrap/>
        <w:topLinePunct w:val="0"/>
        <w:bidi w:val="0"/>
        <w:adjustRightInd/>
        <w:spacing w:after="0" w:afterLines="0" w:line="240" w:lineRule="auto"/>
        <w:textAlignment w:val="auto"/>
        <w:rPr>
          <w:rFonts w:hint="eastAsia"/>
          <w:b w:val="0"/>
          <w:bCs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pacing w:line="240" w:lineRule="auto"/>
        <w:textAlignment w:val="auto"/>
        <w:rPr>
          <w:rFonts w:hint="eastAsia"/>
          <w:b w:val="0"/>
          <w:bCs w:val="0"/>
          <w:sz w:val="32"/>
          <w:szCs w:val="32"/>
          <w:lang w:eastAsia="zh-CN"/>
        </w:rPr>
      </w:pPr>
    </w:p>
    <w:p>
      <w:pPr>
        <w:pStyle w:val="2"/>
        <w:keepNext w:val="0"/>
        <w:keepLines w:val="0"/>
        <w:pageBreakBefore w:val="0"/>
        <w:kinsoku/>
        <w:wordWrap/>
        <w:topLinePunct w:val="0"/>
        <w:bidi w:val="0"/>
        <w:adjustRightInd/>
        <w:spacing w:after="0" w:afterLines="0" w:line="240" w:lineRule="auto"/>
        <w:textAlignment w:val="auto"/>
        <w:rPr>
          <w:rFonts w:hint="eastAsia"/>
          <w:b w:val="0"/>
          <w:bCs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pacing w:line="240" w:lineRule="auto"/>
        <w:jc w:val="both"/>
        <w:textAlignment w:val="auto"/>
        <w:rPr>
          <w:rFonts w:ascii="宋体" w:hAnsi="宋体" w:eastAsia="黑体"/>
          <w:b w:val="0"/>
          <w:bCs w:val="0"/>
          <w:sz w:val="32"/>
          <w:szCs w:val="32"/>
          <w:u w:val="single"/>
        </w:rPr>
      </w:pPr>
      <w:r>
        <w:rPr>
          <w:rFonts w:ascii="宋体" w:hAnsi="宋体" w:eastAsia="黑体"/>
          <w:b w:val="0"/>
          <w:bCs w:val="0"/>
          <w:sz w:val="32"/>
        </w:rPr>
        <w:t xml:space="preserve">   </w:t>
      </w:r>
      <w:r>
        <w:rPr>
          <w:rFonts w:ascii="宋体" w:hAnsi="宋体" w:eastAsia="黑体"/>
          <w:b w:val="0"/>
          <w:bCs w:val="0"/>
          <w:sz w:val="32"/>
          <w:szCs w:val="32"/>
        </w:rPr>
        <w:t xml:space="preserve"> 申</w:t>
      </w:r>
      <w:r>
        <w:rPr>
          <w:rFonts w:hint="eastAsia" w:ascii="宋体" w:hAnsi="宋体" w:eastAsia="黑体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ascii="宋体" w:hAnsi="宋体" w:eastAsia="黑体"/>
          <w:b w:val="0"/>
          <w:bCs w:val="0"/>
          <w:sz w:val="32"/>
          <w:szCs w:val="32"/>
        </w:rPr>
        <w:t>报</w:t>
      </w:r>
      <w:r>
        <w:rPr>
          <w:rFonts w:hint="eastAsia" w:ascii="宋体" w:hAnsi="宋体" w:eastAsia="黑体"/>
          <w:b w:val="0"/>
          <w:bCs w:val="0"/>
          <w:sz w:val="32"/>
          <w:szCs w:val="32"/>
          <w:lang w:val="en-US" w:eastAsia="zh-CN"/>
        </w:rPr>
        <w:t xml:space="preserve"> 单 位</w:t>
      </w:r>
      <w:r>
        <w:rPr>
          <w:rFonts w:hint="eastAsia" w:ascii="宋体" w:hAnsi="宋体" w:eastAsia="黑体"/>
          <w:b w:val="0"/>
          <w:bCs w:val="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eastAsia="zh-CN"/>
        </w:rPr>
        <w:t xml:space="preserve">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</w:rPr>
        <w:t>（加盖公章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eastAsia="zh-CN"/>
        </w:rPr>
        <w:t>）</w:t>
      </w:r>
    </w:p>
    <w:p>
      <w:pPr>
        <w:pStyle w:val="2"/>
        <w:keepNext w:val="0"/>
        <w:keepLines w:val="0"/>
        <w:pageBreakBefore w:val="0"/>
        <w:kinsoku/>
        <w:wordWrap/>
        <w:topLinePunct w:val="0"/>
        <w:bidi w:val="0"/>
        <w:adjustRightInd/>
        <w:spacing w:after="0" w:afterLines="0" w:line="240" w:lineRule="auto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u w:val="single"/>
          <w:lang w:val="en-US" w:eastAsia="zh-CN"/>
        </w:rPr>
      </w:pPr>
      <w:r>
        <w:rPr>
          <w:rFonts w:hint="default" w:ascii="宋体" w:hAnsi="宋体" w:eastAsia="黑体"/>
          <w:b w:val="0"/>
          <w:bCs w:val="0"/>
          <w:sz w:val="32"/>
          <w:szCs w:val="32"/>
          <w:lang w:eastAsia="zh-CN"/>
        </w:rPr>
        <w:t xml:space="preserve">    </w:t>
      </w:r>
      <w:r>
        <w:rPr>
          <w:rFonts w:hint="eastAsia" w:ascii="宋体" w:hAnsi="宋体" w:eastAsia="黑体"/>
          <w:b w:val="0"/>
          <w:bCs w:val="0"/>
          <w:sz w:val="32"/>
          <w:szCs w:val="32"/>
          <w:lang w:eastAsia="zh-CN"/>
        </w:rPr>
        <w:t>申</w:t>
      </w:r>
      <w:r>
        <w:rPr>
          <w:rFonts w:hint="eastAsia" w:ascii="宋体" w:hAnsi="宋体" w:eastAsia="黑体"/>
          <w:b w:val="0"/>
          <w:bCs w:val="0"/>
          <w:sz w:val="32"/>
          <w:szCs w:val="32"/>
        </w:rPr>
        <w:t xml:space="preserve"> </w:t>
      </w:r>
      <w:r>
        <w:rPr>
          <w:rFonts w:hint="eastAsia" w:ascii="宋体" w:hAnsi="宋体" w:eastAsia="黑体"/>
          <w:b w:val="0"/>
          <w:bCs w:val="0"/>
          <w:sz w:val="32"/>
          <w:szCs w:val="32"/>
          <w:lang w:eastAsia="zh-CN"/>
        </w:rPr>
        <w:t>报</w:t>
      </w:r>
      <w:r>
        <w:rPr>
          <w:rFonts w:ascii="宋体" w:hAnsi="宋体" w:eastAsia="黑体"/>
          <w:b w:val="0"/>
          <w:bCs w:val="0"/>
          <w:sz w:val="32"/>
          <w:szCs w:val="32"/>
        </w:rPr>
        <w:t xml:space="preserve"> </w:t>
      </w:r>
      <w:r>
        <w:rPr>
          <w:rFonts w:hint="eastAsia" w:ascii="宋体" w:hAnsi="宋体" w:eastAsia="黑体"/>
          <w:b w:val="0"/>
          <w:bCs w:val="0"/>
          <w:sz w:val="32"/>
          <w:szCs w:val="32"/>
          <w:lang w:eastAsia="zh-CN"/>
        </w:rPr>
        <w:t>日</w:t>
      </w:r>
      <w:r>
        <w:rPr>
          <w:rFonts w:hint="eastAsia" w:ascii="宋体" w:hAnsi="宋体" w:eastAsia="黑体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eastAsia="黑体"/>
          <w:b w:val="0"/>
          <w:bCs w:val="0"/>
          <w:sz w:val="32"/>
          <w:szCs w:val="32"/>
          <w:lang w:eastAsia="zh-CN"/>
        </w:rPr>
        <w:t>期</w:t>
      </w:r>
      <w:r>
        <w:rPr>
          <w:rFonts w:hint="eastAsia" w:ascii="宋体" w:hAnsi="宋体" w:eastAsia="黑体"/>
          <w:b w:val="0"/>
          <w:bCs w:val="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u w:val="single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</w:rPr>
        <w:t xml:space="preserve">年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</w:rPr>
        <w:t xml:space="preserve">月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</w:rPr>
        <w:t xml:space="preserve">日      </w:t>
      </w:r>
    </w:p>
    <w:p>
      <w:pPr>
        <w:pStyle w:val="2"/>
        <w:keepNext w:val="0"/>
        <w:keepLines w:val="0"/>
        <w:pageBreakBefore w:val="0"/>
        <w:kinsoku/>
        <w:wordWrap/>
        <w:topLinePunct w:val="0"/>
        <w:bidi w:val="0"/>
        <w:adjustRightInd/>
        <w:spacing w:after="0" w:afterLines="0" w:line="240" w:lineRule="auto"/>
        <w:textAlignment w:val="auto"/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topLinePunct w:val="0"/>
        <w:bidi w:val="0"/>
        <w:adjustRightInd/>
        <w:spacing w:after="0" w:afterLines="0" w:line="240" w:lineRule="auto"/>
        <w:textAlignment w:val="auto"/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topLinePunct w:val="0"/>
        <w:bidi w:val="0"/>
        <w:adjustRightInd/>
        <w:spacing w:after="0" w:afterLines="0" w:line="240" w:lineRule="auto"/>
        <w:textAlignment w:val="auto"/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topLinePunct w:val="0"/>
        <w:bidi w:val="0"/>
        <w:adjustRightInd/>
        <w:spacing w:after="0" w:afterLines="0" w:line="240" w:lineRule="auto"/>
        <w:textAlignment w:val="auto"/>
        <w:rPr>
          <w:rFonts w:hint="eastAsia"/>
          <w:b w:val="0"/>
          <w:bCs w:val="0"/>
          <w:sz w:val="32"/>
          <w:szCs w:val="32"/>
        </w:rPr>
      </w:pPr>
    </w:p>
    <w:p>
      <w:pPr>
        <w:pStyle w:val="2"/>
        <w:keepNext w:val="0"/>
        <w:keepLines w:val="0"/>
        <w:pageBreakBefore w:val="0"/>
        <w:kinsoku/>
        <w:wordWrap/>
        <w:topLinePunct w:val="0"/>
        <w:bidi w:val="0"/>
        <w:adjustRightInd/>
        <w:spacing w:after="0" w:afterLines="0" w:line="240" w:lineRule="auto"/>
        <w:textAlignment w:val="auto"/>
        <w:rPr>
          <w:rFonts w:hint="eastAsia"/>
          <w:b w:val="0"/>
          <w:bCs w:val="0"/>
          <w:sz w:val="32"/>
          <w:szCs w:val="32"/>
        </w:rPr>
      </w:pPr>
    </w:p>
    <w:p>
      <w:pPr>
        <w:pStyle w:val="2"/>
        <w:keepNext w:val="0"/>
        <w:keepLines w:val="0"/>
        <w:pageBreakBefore w:val="0"/>
        <w:kinsoku/>
        <w:wordWrap/>
        <w:topLinePunct w:val="0"/>
        <w:bidi w:val="0"/>
        <w:adjustRightInd/>
        <w:spacing w:after="0" w:afterLines="0" w:line="240" w:lineRule="auto"/>
        <w:textAlignment w:val="auto"/>
        <w:rPr>
          <w:rFonts w:hint="eastAsia"/>
          <w:b w:val="0"/>
          <w:bCs w:val="0"/>
          <w:sz w:val="32"/>
          <w:szCs w:val="32"/>
        </w:rPr>
      </w:pPr>
    </w:p>
    <w:p>
      <w:pPr>
        <w:pStyle w:val="2"/>
        <w:keepNext w:val="0"/>
        <w:keepLines w:val="0"/>
        <w:pageBreakBefore w:val="0"/>
        <w:kinsoku/>
        <w:wordWrap/>
        <w:topLinePunct w:val="0"/>
        <w:bidi w:val="0"/>
        <w:adjustRightInd/>
        <w:spacing w:after="0" w:afterLines="0" w:line="240" w:lineRule="auto"/>
        <w:textAlignment w:val="auto"/>
        <w:rPr>
          <w:rFonts w:hint="eastAsia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1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28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28"/>
        </w:rPr>
        <w:t>填 写 说 明</w:t>
      </w:r>
    </w:p>
    <w:p>
      <w:pPr>
        <w:pStyle w:val="2"/>
        <w:keepNext w:val="0"/>
        <w:keepLines w:val="0"/>
        <w:pageBreakBefore w:val="0"/>
        <w:kinsoku/>
        <w:wordWrap/>
        <w:topLinePunct w:val="0"/>
        <w:bidi w:val="0"/>
        <w:adjustRightInd/>
        <w:spacing w:after="0" w:afterLines="0" w:line="240" w:lineRule="auto"/>
        <w:textAlignment w:val="auto"/>
        <w:rPr>
          <w:rFonts w:hint="eastAsia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pacing w:line="240" w:lineRule="auto"/>
        <w:ind w:left="105" w:leftChars="50" w:firstLine="480" w:firstLineChars="15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1. 申报材料应客观、真实，不得弄虚作假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，不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涉及国家秘密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, 申报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单位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对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所提交申报材料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的真实性负责。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. 本申报书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除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表格外，其他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各项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填报要求：A4幅面编辑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正文应采用仿宋_GB2312四号字，1.5倍行间距，两端对齐，一级标题三号黑体，二级标题为四号楷体_GB2312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加粗。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3.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eastAsia="zh-CN" w:bidi="ar-SA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需在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申报书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首页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加盖公章。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宋体" w:hAnsi="宋体" w:eastAsia="黑体" w:cs="Times New Roman"/>
          <w:b w:val="0"/>
          <w:bCs w:val="0"/>
          <w:sz w:val="44"/>
          <w:szCs w:val="36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 w:start="1"/>
          <w:cols w:space="720" w:num="1"/>
          <w:docGrid w:type="lines" w:linePitch="312" w:charSpace="0"/>
        </w:sect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topLinePunct w:val="0"/>
        <w:bidi w:val="0"/>
        <w:adjustRightInd/>
        <w:spacing w:after="0" w:afterLines="0" w:line="240" w:lineRule="auto"/>
        <w:textAlignment w:val="auto"/>
        <w:outlineLvl w:val="0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eastAsia="zh-CN"/>
        </w:rPr>
        <w:t xml:space="preserve">    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一、基本情况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6"/>
        <w:gridCol w:w="2705"/>
        <w:gridCol w:w="42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9" w:hRule="atLeast"/>
        </w:trPr>
        <w:tc>
          <w:tcPr>
            <w:tcW w:w="167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省级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</w:rPr>
              <w:t>工业和信息化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主管部门</w:t>
            </w:r>
          </w:p>
        </w:tc>
        <w:tc>
          <w:tcPr>
            <w:tcW w:w="6924" w:type="dxa"/>
            <w:gridSpan w:val="2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default" w:ascii="Times New Roman" w:hAnsi="Times New Roman" w:eastAsia="楷体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1676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topLinePunct w:val="0"/>
              <w:bidi w:val="0"/>
              <w:adjustRightInd/>
              <w:spacing w:after="0" w:afterLines="0"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联系人</w:t>
            </w:r>
          </w:p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topLinePunct w:val="0"/>
              <w:bidi w:val="0"/>
              <w:adjustRightInd/>
              <w:spacing w:after="0" w:afterLines="0"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（处级）</w:t>
            </w:r>
          </w:p>
        </w:tc>
        <w:tc>
          <w:tcPr>
            <w:tcW w:w="270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topLinePunct w:val="0"/>
              <w:bidi w:val="0"/>
              <w:adjustRightInd/>
              <w:spacing w:after="0" w:afterLines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  <w:t>姓名</w:t>
            </w:r>
          </w:p>
        </w:tc>
        <w:tc>
          <w:tcPr>
            <w:tcW w:w="4219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default" w:ascii="Times New Roman" w:hAnsi="Times New Roman" w:eastAsia="楷体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1676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topLinePunct w:val="0"/>
              <w:bidi w:val="0"/>
              <w:adjustRightInd/>
              <w:spacing w:after="0" w:afterLines="0"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70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topLinePunct w:val="0"/>
              <w:bidi w:val="0"/>
              <w:adjustRightInd/>
              <w:spacing w:after="0" w:afterLines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部门</w:t>
            </w:r>
          </w:p>
        </w:tc>
        <w:tc>
          <w:tcPr>
            <w:tcW w:w="4219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default" w:ascii="Times New Roman" w:hAnsi="Times New Roman" w:eastAsia="楷体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1676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topLinePunct w:val="0"/>
              <w:bidi w:val="0"/>
              <w:adjustRightInd/>
              <w:spacing w:after="0" w:afterLines="0"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70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topLinePunct w:val="0"/>
              <w:bidi w:val="0"/>
              <w:adjustRightInd/>
              <w:spacing w:after="0" w:afterLines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职务</w:t>
            </w:r>
          </w:p>
        </w:tc>
        <w:tc>
          <w:tcPr>
            <w:tcW w:w="4219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default" w:ascii="Times New Roman" w:hAnsi="Times New Roman" w:eastAsia="楷体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1676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topLinePunct w:val="0"/>
              <w:bidi w:val="0"/>
              <w:adjustRightInd/>
              <w:spacing w:after="0" w:afterLines="0"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70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topLinePunct w:val="0"/>
              <w:bidi w:val="0"/>
              <w:adjustRightInd/>
              <w:spacing w:after="0" w:afterLines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topLinePunct w:val="0"/>
              <w:bidi w:val="0"/>
              <w:adjustRightInd/>
              <w:spacing w:after="0" w:afterLines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（座机/手机号）</w:t>
            </w:r>
          </w:p>
        </w:tc>
        <w:tc>
          <w:tcPr>
            <w:tcW w:w="4219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default" w:ascii="Times New Roman" w:hAnsi="Times New Roman" w:eastAsia="楷体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1676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topLinePunct w:val="0"/>
              <w:bidi w:val="0"/>
              <w:adjustRightInd/>
              <w:spacing w:after="0" w:afterLines="0"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70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topLinePunct w:val="0"/>
              <w:bidi w:val="0"/>
              <w:adjustRightInd/>
              <w:spacing w:after="0" w:afterLines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邮箱</w:t>
            </w:r>
          </w:p>
        </w:tc>
        <w:tc>
          <w:tcPr>
            <w:tcW w:w="4219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default" w:ascii="Times New Roman" w:hAnsi="Times New Roman" w:eastAsia="楷体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0" w:hRule="atLeast"/>
        </w:trPr>
        <w:tc>
          <w:tcPr>
            <w:tcW w:w="167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topLinePunct w:val="0"/>
              <w:bidi w:val="0"/>
              <w:adjustRightInd/>
              <w:snapToGrid w:val="0"/>
              <w:spacing w:after="0" w:afterLines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试点内容选择（后三项为可选项，至少选择1项）</w:t>
            </w:r>
          </w:p>
        </w:tc>
        <w:tc>
          <w:tcPr>
            <w:tcW w:w="6924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afterLines="0"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sym w:font="Wingdings" w:char="00FE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工业领域数据安全管理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afterLines="0"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sym w:font="Wingdings" w:char="00FE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工业领域数据安全防护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afterLines="0" w:line="240" w:lineRule="auto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sym w:font="Wingdings" w:char="00FE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工业领域数据安全评估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afterLines="0"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工业领域数据安全产品应用推广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afterLines="0"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工业领域数据安全监测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afterLines="0"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工业领域数据出境安全管理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二、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eastAsia="zh-CN"/>
        </w:rPr>
        <w:t>试点实施方案</w:t>
      </w:r>
    </w:p>
    <w:p>
      <w:pPr>
        <w:pStyle w:val="2"/>
        <w:keepNext w:val="0"/>
        <w:keepLines w:val="0"/>
        <w:pageBreakBefore w:val="0"/>
        <w:kinsoku/>
        <w:wordWrap/>
        <w:topLinePunct w:val="0"/>
        <w:bidi w:val="0"/>
        <w:adjustRightInd/>
        <w:spacing w:after="0" w:afterLines="0" w:line="240" w:lineRule="auto"/>
        <w:ind w:firstLine="640" w:firstLineChars="200"/>
        <w:textAlignment w:val="auto"/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</w:rPr>
        <w:t>（一）</w:t>
      </w:r>
      <w:r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  <w:lang w:eastAsia="zh-CN"/>
        </w:rPr>
        <w:t>省份基本情况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（包括工业发展水平、数字经济发展状况、工业行业覆盖面、数据安全工作基础等方面情况，不超过1500字）</w:t>
      </w:r>
    </w:p>
    <w:p>
      <w:pPr>
        <w:pStyle w:val="2"/>
        <w:keepNext w:val="0"/>
        <w:keepLines w:val="0"/>
        <w:pageBreakBefore w:val="0"/>
        <w:kinsoku/>
        <w:wordWrap/>
        <w:topLinePunct w:val="0"/>
        <w:bidi w:val="0"/>
        <w:adjustRightInd/>
        <w:spacing w:after="0" w:afterLines="0" w:line="240" w:lineRule="auto"/>
        <w:ind w:firstLine="640" w:firstLineChars="200"/>
        <w:textAlignment w:val="auto"/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  <w:lang w:eastAsia="zh-CN"/>
        </w:rPr>
        <w:t>（二）工作目标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（包括试点工作需要实现的具体目标）</w:t>
      </w:r>
    </w:p>
    <w:p>
      <w:pPr>
        <w:pStyle w:val="2"/>
        <w:keepNext w:val="0"/>
        <w:keepLines w:val="0"/>
        <w:pageBreakBefore w:val="0"/>
        <w:kinsoku/>
        <w:wordWrap/>
        <w:topLinePunct w:val="0"/>
        <w:bidi w:val="0"/>
        <w:adjustRightInd/>
        <w:spacing w:after="0" w:afterLines="0" w:line="240" w:lineRule="auto"/>
        <w:ind w:firstLine="640" w:firstLineChars="200"/>
        <w:textAlignment w:val="auto"/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  <w:lang w:eastAsia="zh-CN"/>
        </w:rPr>
        <w:t>（三）试点内容及实施方式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（包括必选和可选试点内容，阐述每一项试点内容实施方式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eastAsia="zh-CN" w:bidi="ar-SA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试点行业、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eastAsia="zh-CN" w:bidi="ar-SA"/>
        </w:rPr>
        <w:t>试点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企业等情况，试点企业应覆盖所有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eastAsia="zh-CN" w:bidi="ar-SA"/>
        </w:rPr>
        <w:t>选择的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试点内容）</w:t>
      </w:r>
    </w:p>
    <w:p>
      <w:pPr>
        <w:pStyle w:val="2"/>
        <w:keepNext w:val="0"/>
        <w:keepLines w:val="0"/>
        <w:pageBreakBefore w:val="0"/>
        <w:kinsoku/>
        <w:wordWrap/>
        <w:topLinePunct w:val="0"/>
        <w:bidi w:val="0"/>
        <w:adjustRightInd/>
        <w:spacing w:after="0" w:afterLines="0" w:line="240" w:lineRule="auto"/>
        <w:ind w:firstLine="640" w:firstLineChars="200"/>
        <w:textAlignment w:val="auto"/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  <w:lang w:eastAsia="zh-CN"/>
        </w:rPr>
        <w:t>（四）组织形式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（包括试点地区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eastAsia="zh-CN" w:bidi="ar-SA"/>
        </w:rPr>
        <w:t>主管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部门、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eastAsia="zh-CN" w:bidi="ar-SA"/>
        </w:rPr>
        <w:t>试点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企业、支撑单位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eastAsia="zh-CN" w:bidi="ar-SA"/>
        </w:rPr>
        <w:t>的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组织模式、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eastAsia="zh-CN" w:bidi="ar-SA"/>
        </w:rPr>
        <w:t>工作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机制等）</w:t>
      </w:r>
    </w:p>
    <w:p>
      <w:pPr>
        <w:pStyle w:val="2"/>
        <w:keepNext w:val="0"/>
        <w:keepLines w:val="0"/>
        <w:pageBreakBefore w:val="0"/>
        <w:kinsoku/>
        <w:wordWrap/>
        <w:topLinePunct w:val="0"/>
        <w:bidi w:val="0"/>
        <w:adjustRightInd/>
        <w:spacing w:after="0" w:afterLines="0" w:line="240" w:lineRule="auto"/>
        <w:ind w:firstLine="640" w:firstLineChars="200"/>
        <w:textAlignment w:val="auto"/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  <w:lang w:eastAsia="zh-CN"/>
        </w:rPr>
        <w:t>（五）工作计划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（包括试点工作时间计划、任务规划、重点进度安排等）</w:t>
      </w:r>
    </w:p>
    <w:p>
      <w:pPr>
        <w:pStyle w:val="2"/>
        <w:keepNext w:val="0"/>
        <w:keepLines w:val="0"/>
        <w:pageBreakBefore w:val="0"/>
        <w:kinsoku/>
        <w:wordWrap/>
        <w:topLinePunct w:val="0"/>
        <w:bidi w:val="0"/>
        <w:adjustRightInd/>
        <w:spacing w:after="0" w:afterLines="0" w:line="240" w:lineRule="auto"/>
        <w:ind w:firstLine="640" w:firstLineChars="200"/>
        <w:textAlignment w:val="auto"/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  <w:lang w:eastAsia="zh-CN"/>
        </w:rPr>
        <w:t>（六）预期成效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（包括试点取得的成果、社会经济效应、长效机制、宣传推广等）</w:t>
      </w:r>
    </w:p>
    <w:p>
      <w:pPr>
        <w:pStyle w:val="2"/>
        <w:keepNext w:val="0"/>
        <w:keepLines w:val="0"/>
        <w:pageBreakBefore w:val="0"/>
        <w:kinsoku/>
        <w:wordWrap/>
        <w:topLinePunct w:val="0"/>
        <w:bidi w:val="0"/>
        <w:adjustRightInd/>
        <w:spacing w:after="0" w:afterLines="0" w:line="240" w:lineRule="auto"/>
        <w:ind w:firstLine="640" w:firstLineChars="200"/>
        <w:textAlignment w:val="auto"/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  <w:lang w:eastAsia="zh-CN"/>
        </w:rPr>
        <w:t>（七）其他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（其他需补充说明的事项）</w:t>
      </w:r>
    </w:p>
    <w:p>
      <w:pPr>
        <w:pStyle w:val="2"/>
        <w:keepNext w:val="0"/>
        <w:keepLines w:val="0"/>
        <w:pageBreakBefore w:val="0"/>
        <w:kinsoku/>
        <w:wordWrap/>
        <w:topLinePunct w:val="0"/>
        <w:bidi w:val="0"/>
        <w:adjustRightInd/>
        <w:spacing w:after="0" w:afterLines="0" w:line="24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eastAsia="zh-CN"/>
        </w:rPr>
        <w:br w:type="page"/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eastAsia="zh-CN"/>
        </w:rPr>
        <w:t>三、</w:t>
      </w:r>
      <w:r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lang w:eastAsia="zh-CN"/>
        </w:rPr>
        <w:t>试点企业名单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315"/>
        <w:gridCol w:w="1598"/>
        <w:gridCol w:w="1682"/>
        <w:gridCol w:w="2035"/>
        <w:gridCol w:w="20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  <w:jc w:val="center"/>
        </w:trPr>
        <w:tc>
          <w:tcPr>
            <w:tcW w:w="85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eastAsia="zh-CN"/>
              </w:rPr>
              <w:t>序号</w:t>
            </w:r>
          </w:p>
        </w:tc>
        <w:tc>
          <w:tcPr>
            <w:tcW w:w="131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eastAsia="zh-CN"/>
              </w:rPr>
              <w:t>工业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eastAsia="zh-CN"/>
              </w:rPr>
              <w:t>行业</w:t>
            </w:r>
          </w:p>
        </w:tc>
        <w:tc>
          <w:tcPr>
            <w:tcW w:w="159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eastAsia="zh-CN"/>
              </w:rPr>
              <w:t>试点企业</w:t>
            </w:r>
          </w:p>
        </w:tc>
        <w:tc>
          <w:tcPr>
            <w:tcW w:w="168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eastAsia="zh-CN"/>
              </w:rPr>
              <w:t>企业所在地市</w:t>
            </w:r>
          </w:p>
        </w:tc>
        <w:tc>
          <w:tcPr>
            <w:tcW w:w="203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eastAsia="zh-CN"/>
              </w:rPr>
              <w:t>企业规模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eastAsia="zh-CN"/>
              </w:rPr>
              <w:t>（大型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val="en-US" w:eastAsia="zh-CN"/>
              </w:rPr>
              <w:t>/中型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eastAsia="zh-CN"/>
              </w:rPr>
              <w:t>）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eastAsia="zh-CN"/>
              </w:rPr>
              <w:t>试点内容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850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1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9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68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03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019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850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1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9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68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03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019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850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1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9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68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03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019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850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1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9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68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03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019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850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1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9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68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03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019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850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1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9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68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03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019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850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1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9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68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03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019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850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1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9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68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03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019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850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1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9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68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03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019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850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1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9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68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03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019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850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1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9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68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03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019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850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1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9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68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03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019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after="0" w:afterLines="0" w:line="240" w:lineRule="auto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/>
        <w:snapToGrid w:val="0"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24"/>
          <w:szCs w:val="24"/>
          <w:lang w:val="en-US" w:eastAsia="zh-CN" w:bidi="ar-SA"/>
        </w:rPr>
        <w:t>注：</w:t>
      </w:r>
      <w:r>
        <w:rPr>
          <w:rFonts w:hint="default" w:ascii="仿宋_GB2312" w:hAnsi="仿宋_GB2312" w:eastAsia="仿宋_GB2312" w:cs="仿宋_GB2312"/>
          <w:b w:val="0"/>
          <w:bCs w:val="0"/>
          <w:kern w:val="2"/>
          <w:sz w:val="24"/>
          <w:szCs w:val="24"/>
          <w:lang w:val="en-US" w:eastAsia="zh-CN" w:bidi="ar-SA"/>
        </w:rPr>
        <w:t>试点企业类型应涵盖原材料工业、装备工业、消费品工业、电子信息制造业、软件和信息技术服务业等领域，各领域不少于3家企业，企业规模主要为大型、中型企业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24"/>
          <w:szCs w:val="24"/>
          <w:lang w:val="en-US" w:eastAsia="zh-CN" w:bidi="ar-SA"/>
        </w:rPr>
        <w:t>。</w:t>
      </w:r>
      <w:r>
        <w:rPr>
          <w:rFonts w:hint="eastAsia" w:ascii="仿宋_GB2312" w:hAnsi="仿宋_GB2312" w:eastAsia="仿宋_GB2312" w:cs="仿宋_GB2312"/>
          <w:b/>
          <w:bCs/>
          <w:kern w:val="2"/>
          <w:sz w:val="24"/>
          <w:szCs w:val="24"/>
          <w:lang w:val="en-US" w:eastAsia="zh-CN" w:bidi="ar-SA"/>
        </w:rPr>
        <w:t>每家试点企业另附简介（300字以内）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24"/>
          <w:szCs w:val="24"/>
          <w:lang w:val="en-US" w:eastAsia="zh-CN" w:bidi="ar-SA"/>
        </w:rPr>
        <w:t>。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pacing w:line="240" w:lineRule="auto"/>
        <w:textAlignment w:val="auto"/>
        <w:rPr>
          <w:rFonts w:hint="default"/>
          <w:b w:val="0"/>
          <w:bCs w:val="0"/>
          <w:lang w:val="en-US" w:eastAsia="zh-CN"/>
        </w:rPr>
      </w:pPr>
    </w:p>
    <w:p/>
    <w:sectPr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  <a:miter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GhpgkvTAAAABQEAAA8AAAAAAAAAAQAg&#10;AAAAIgAAAGRycy9kb3ducmV2LnhtbFBLAQIUABQAAAAIAIdO4kAavmZj2gEAALsDAAAOAAAAAAAA&#10;AAEAIAAAACIBAABkcnMvZTJvRG9jLnhtbFBLBQYAAAAABgAGAFkBAABuBQAAAAA=&#10;">
              <v:fill on="f" focussize="0,0"/>
              <v:stroke on="f" weight="1.25pt" joinstyle="miter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B199AD"/>
    <w:rsid w:val="2C254CCA"/>
    <w:rsid w:val="3EAB081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0"/>
    <w:pPr>
      <w:spacing w:after="120" w:afterLines="0" w:afterAutospacing="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宋体" w:hAnsi="宋体"/>
      <w:sz w:val="2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39"/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722</Words>
  <Characters>745</Characters>
  <Lines>0</Lines>
  <Paragraphs>0</Paragraphs>
  <TotalTime>4</TotalTime>
  <ScaleCrop>false</ScaleCrop>
  <LinksUpToDate>false</LinksUpToDate>
  <CharactersWithSpaces>816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江苏钢铁行业协会数据对接</cp:lastModifiedBy>
  <dcterms:modified xsi:type="dcterms:W3CDTF">2022-02-10T01:49:59Z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FE1FAFEA658146E181FB5C3588301143</vt:lpwstr>
  </property>
</Properties>
</file>